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72"/>
          <w:highlight w:val="none"/>
        </w:rPr>
      </w:pPr>
      <w:r>
        <w:rPr>
          <w:rFonts w:hint="eastAsia" w:ascii="宋体" w:hAnsi="宋体"/>
          <w:b/>
          <w:color w:val="auto"/>
          <w:sz w:val="72"/>
          <w:highlight w:val="none"/>
        </w:rPr>
        <w:t xml:space="preserve">厦 门 市 大 宗 货 物     </w:t>
      </w:r>
    </w:p>
    <w:p>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u w:val="single"/>
        </w:rPr>
      </w:pPr>
      <w:r>
        <w:rPr>
          <w:rFonts w:hint="eastAsia" w:ascii="宋体" w:hAnsi="宋体"/>
          <w:b/>
          <w:color w:val="auto"/>
          <w:sz w:val="36"/>
          <w:highlight w:val="none"/>
        </w:rPr>
        <w:t>招 标 编 号：</w:t>
      </w:r>
      <w:r>
        <w:rPr>
          <w:rFonts w:hint="eastAsia" w:ascii="宋体" w:hAnsi="宋体"/>
          <w:b/>
          <w:color w:val="auto"/>
          <w:sz w:val="36"/>
          <w:highlight w:val="none"/>
          <w:u w:val="single"/>
        </w:rPr>
        <w:t>XM2024-DZ0043</w:t>
      </w:r>
    </w:p>
    <w:p>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w:t>
      </w:r>
      <w:r>
        <w:rPr>
          <w:rFonts w:hint="eastAsia" w:ascii="宋体" w:hAnsi="宋体"/>
          <w:b/>
          <w:color w:val="auto"/>
          <w:sz w:val="36"/>
          <w:highlight w:val="none"/>
          <w:u w:val="single"/>
        </w:rPr>
        <w:t>科研教学楼办公家具</w:t>
      </w: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pStyle w:val="5"/>
        <w:spacing w:line="360" w:lineRule="auto"/>
        <w:ind w:firstLine="1438" w:firstLineChars="398"/>
        <w:jc w:val="left"/>
        <w:rPr>
          <w:rFonts w:hint="eastAsia" w:hAnsi="宋体"/>
          <w:b/>
          <w:color w:val="auto"/>
          <w:spacing w:val="20"/>
          <w:sz w:val="32"/>
          <w:highlight w:val="none"/>
        </w:rPr>
      </w:pPr>
    </w:p>
    <w:p>
      <w:pPr>
        <w:pStyle w:val="5"/>
        <w:spacing w:line="360" w:lineRule="auto"/>
        <w:ind w:firstLine="1438" w:firstLineChars="398"/>
        <w:jc w:val="left"/>
        <w:rPr>
          <w:rFonts w:hint="eastAsia" w:hAnsi="宋体"/>
          <w:b/>
          <w:bCs/>
          <w:color w:val="auto"/>
          <w:sz w:val="32"/>
          <w:highlight w:val="none"/>
          <w:u w:val="single"/>
        </w:rPr>
      </w:pPr>
      <w:r>
        <w:rPr>
          <w:rFonts w:hint="eastAsia" w:hAnsi="宋体"/>
          <w:b/>
          <w:color w:val="auto"/>
          <w:spacing w:val="20"/>
          <w:sz w:val="32"/>
          <w:highlight w:val="none"/>
        </w:rPr>
        <w:t>使用单位：复旦大学附属中山医院厦门医院</w:t>
      </w:r>
    </w:p>
    <w:p>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pPr>
        <w:spacing w:line="360" w:lineRule="auto"/>
        <w:ind w:firstLine="1438" w:firstLineChars="398"/>
        <w:rPr>
          <w:rFonts w:hint="eastAsia" w:ascii="宋体" w:hAnsi="宋体"/>
          <w:b/>
          <w:color w:val="auto"/>
          <w:sz w:val="36"/>
          <w:highlight w:val="none"/>
        </w:rPr>
      </w:pPr>
    </w:p>
    <w:p>
      <w:pPr>
        <w:pStyle w:val="5"/>
        <w:spacing w:line="360" w:lineRule="auto"/>
        <w:jc w:val="center"/>
        <w:outlineLvl w:val="0"/>
        <w:rPr>
          <w:rFonts w:hint="eastAsia" w:hAnsi="宋体"/>
          <w:b/>
          <w:color w:val="auto"/>
          <w:sz w:val="32"/>
          <w:highlight w:val="none"/>
        </w:rPr>
      </w:pPr>
      <w:r>
        <w:rPr>
          <w:rFonts w:hint="eastAsia" w:hAnsi="宋体"/>
          <w:b/>
          <w:color w:val="auto"/>
          <w:sz w:val="32"/>
          <w:highlight w:val="none"/>
        </w:rPr>
        <w:t>2024年7月</w:t>
      </w:r>
    </w:p>
    <w:p>
      <w:pPr>
        <w:pStyle w:val="5"/>
        <w:spacing w:line="360" w:lineRule="auto"/>
        <w:outlineLvl w:val="0"/>
        <w:rPr>
          <w:rFonts w:hint="eastAsia" w:hAnsi="宋体"/>
          <w:b/>
          <w:color w:val="auto"/>
          <w:sz w:val="32"/>
          <w:highlight w:val="none"/>
        </w:rPr>
      </w:pPr>
    </w:p>
    <w:p>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关于政府采购信用贷款的提示</w:t>
      </w:r>
    </w:p>
    <w:p>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（201608版）</w:t>
      </w:r>
    </w:p>
    <w:p>
      <w:pPr>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 xml:space="preserve">有关金融机构联系方式：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（一）中国建设银行厦门分行：</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联系人：魏慧媛   2158595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（二）中国光大银行厦门分行：</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联系人：陈  虹   2283776、13806013400；朱姗姗   2991131、18050082825</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（三）兴业银行厦门分行</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联系人：陈小姐  0592-5312509 13599531245 ；高经理  0592-5312350 13850017508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（四）厦门市担保有限公司：</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联系人：陈文辉   5125116；吴龙辉   5120019</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（五）厦门银行股份有限公司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联系人：张冬梅 13395990009 ；陈韵 13656021986</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本提示仅作为信息告知，具体贷款事宜以银行等有关金融机构审批为准。</w:t>
      </w:r>
    </w:p>
    <w:p>
      <w:pPr>
        <w:spacing w:line="360" w:lineRule="auto"/>
        <w:ind w:firstLine="480" w:firstLineChars="200"/>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pPr>
    </w:p>
    <w:p>
      <w:pPr>
        <w:pStyle w:val="5"/>
        <w:spacing w:line="360" w:lineRule="auto"/>
        <w:jc w:val="center"/>
        <w:outlineLvl w:val="0"/>
        <w:rPr>
          <w:rFonts w:hint="eastAsia" w:hAnsi="宋体" w:cs="宋体"/>
          <w:b/>
          <w:bCs/>
          <w:color w:val="auto"/>
          <w:sz w:val="32"/>
          <w:szCs w:val="32"/>
          <w:highlight w:val="none"/>
        </w:rPr>
      </w:pPr>
      <w:r>
        <w:rPr>
          <w:rFonts w:hint="eastAsia" w:hAnsi="宋体" w:cs="宋体"/>
          <w:b/>
          <w:bCs/>
          <w:color w:val="auto"/>
          <w:sz w:val="32"/>
          <w:szCs w:val="32"/>
          <w:highlight w:val="none"/>
        </w:rPr>
        <w:t xml:space="preserve">  目   录</w:t>
      </w:r>
    </w:p>
    <w:p>
      <w:pPr>
        <w:pStyle w:val="2"/>
        <w:snapToGrid w:val="0"/>
        <w:spacing w:line="360" w:lineRule="auto"/>
        <w:ind w:firstLine="0"/>
        <w:rPr>
          <w:rFonts w:hint="eastAsia" w:ascii="宋体" w:hAnsi="宋体" w:cs="宋体"/>
          <w:color w:val="auto"/>
          <w:sz w:val="24"/>
          <w:szCs w:val="24"/>
          <w:highlight w:val="none"/>
        </w:rPr>
      </w:pP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第一章    投标邀请 …………………………………………………1</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投标邀请函…………………………………………………1-1</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第二章    投标人须知  ………………………………………………2</w:t>
      </w:r>
    </w:p>
    <w:p>
      <w:pPr>
        <w:spacing w:line="360" w:lineRule="auto"/>
        <w:ind w:firstLine="240" w:firstLineChars="100"/>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投标人须知前附表1、2、3、4 </w:t>
      </w:r>
      <w:r>
        <w:rPr>
          <w:rFonts w:hint="eastAsia" w:ascii="宋体" w:hAnsi="宋体" w:cs="宋体"/>
          <w:color w:val="auto"/>
          <w:sz w:val="24"/>
          <w:szCs w:val="24"/>
          <w:highlight w:val="none"/>
        </w:rPr>
        <w:t>……………………………………2-1-1</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一、 说明 ………………………………………………………2-2-1</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二、 招标文件 …………………………………………………2-2-4</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三、 投标文件的编写 …………………………………………2-2-5</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四、 投标文件的提交 …………………………………………2-2-8</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五、 投标文件的评估和比较 …………………………………2-2-9</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六、 定标与签订合同…………………………………………2-2-12</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第三章    招标内容及要求  ………………………………………3-1</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第四章    政府</w:t>
      </w:r>
      <w:r>
        <w:rPr>
          <w:rFonts w:hint="eastAsia" w:ascii="宋体" w:hAnsi="宋体" w:cs="宋体"/>
          <w:bCs/>
          <w:color w:val="auto"/>
          <w:sz w:val="24"/>
          <w:szCs w:val="24"/>
          <w:highlight w:val="none"/>
        </w:rPr>
        <w:t xml:space="preserve">采购合同 </w:t>
      </w:r>
      <w:r>
        <w:rPr>
          <w:rFonts w:hint="eastAsia" w:ascii="宋体" w:hAnsi="宋体" w:cs="宋体"/>
          <w:color w:val="auto"/>
          <w:sz w:val="24"/>
          <w:szCs w:val="24"/>
          <w:highlight w:val="none"/>
        </w:rPr>
        <w:t>…………………………………………4-1</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第五章    投标文件格式 …………………………………………5-1</w:t>
      </w:r>
    </w:p>
    <w:p>
      <w:pPr>
        <w:pStyle w:val="2"/>
        <w:spacing w:line="360" w:lineRule="auto"/>
        <w:ind w:firstLine="2250" w:firstLineChars="934"/>
        <w:rPr>
          <w:rFonts w:hint="eastAsia" w:ascii="宋体" w:hAnsi="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pPr>
        <w:pStyle w:val="17"/>
        <w:spacing w:line="360" w:lineRule="auto"/>
        <w:jc w:val="center"/>
        <w:rPr>
          <w:rFonts w:hint="eastAsia" w:hAnsi="宋体" w:cs="宋体"/>
          <w:b/>
          <w:bCs/>
          <w:color w:val="auto"/>
          <w:sz w:val="32"/>
          <w:szCs w:val="32"/>
          <w:highlight w:val="none"/>
        </w:rPr>
      </w:pPr>
      <w:r>
        <w:rPr>
          <w:rFonts w:hint="eastAsia" w:hAnsi="宋体" w:cs="宋体"/>
          <w:b/>
          <w:color w:val="auto"/>
          <w:sz w:val="32"/>
          <w:szCs w:val="32"/>
          <w:highlight w:val="none"/>
        </w:rPr>
        <w:t>第一章  投标邀请函</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cs="宋体"/>
          <w:color w:val="auto"/>
          <w:sz w:val="24"/>
          <w:szCs w:val="24"/>
          <w:highlight w:val="none"/>
        </w:rPr>
        <w:t>委托，</w:t>
      </w:r>
      <w:r>
        <w:rPr>
          <w:rFonts w:hint="eastAsia" w:ascii="宋体" w:hAnsi="宋体" w:cs="宋体"/>
          <w:b/>
          <w:color w:val="auto"/>
          <w:sz w:val="24"/>
          <w:szCs w:val="24"/>
          <w:highlight w:val="none"/>
          <w:u w:val="single"/>
        </w:rPr>
        <w:t xml:space="preserve">厦门万翔招标有限公司 </w:t>
      </w:r>
      <w:r>
        <w:rPr>
          <w:rFonts w:hint="eastAsia" w:ascii="宋体" w:hAnsi="宋体" w:cs="宋体"/>
          <w:color w:val="auto"/>
          <w:sz w:val="24"/>
          <w:szCs w:val="24"/>
          <w:highlight w:val="none"/>
        </w:rPr>
        <w:t>对【</w:t>
      </w:r>
      <w:r>
        <w:rPr>
          <w:rFonts w:hint="eastAsia" w:ascii="宋体" w:hAnsi="宋体" w:cs="宋体"/>
          <w:b/>
          <w:bCs/>
          <w:color w:val="auto"/>
          <w:sz w:val="24"/>
          <w:szCs w:val="24"/>
          <w:highlight w:val="none"/>
          <w:u w:val="single"/>
        </w:rPr>
        <w:t>科研教学楼办公家具</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货物进行</w:t>
      </w:r>
      <w:r>
        <w:rPr>
          <w:rFonts w:hint="eastAsia" w:ascii="宋体" w:hAnsi="宋体" w:cs="宋体"/>
          <w:b/>
          <w:bCs/>
          <w:color w:val="auto"/>
          <w:sz w:val="24"/>
          <w:szCs w:val="24"/>
          <w:highlight w:val="none"/>
          <w:u w:val="single"/>
        </w:rPr>
        <w:t>国内公开招标</w:t>
      </w:r>
      <w:r>
        <w:rPr>
          <w:rFonts w:hint="eastAsia" w:ascii="宋体" w:hAnsi="宋体" w:cs="宋体"/>
          <w:color w:val="auto"/>
          <w:sz w:val="24"/>
          <w:szCs w:val="24"/>
          <w:highlight w:val="none"/>
        </w:rPr>
        <w:t>，现欢迎国内合格的投标人前来投标。</w:t>
      </w:r>
    </w:p>
    <w:p>
      <w:pPr>
        <w:spacing w:line="360" w:lineRule="auto"/>
        <w:ind w:firstLine="360" w:firstLineChars="15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1、招标编号：</w:t>
      </w:r>
      <w:r>
        <w:rPr>
          <w:rFonts w:hint="eastAsia" w:ascii="宋体" w:hAnsi="宋体" w:cs="宋体"/>
          <w:color w:val="auto"/>
          <w:sz w:val="24"/>
          <w:szCs w:val="24"/>
          <w:highlight w:val="none"/>
          <w:u w:val="single"/>
        </w:rPr>
        <w:t xml:space="preserve">XM2024-DZ0043。 </w:t>
      </w:r>
    </w:p>
    <w:p>
      <w:pPr>
        <w:spacing w:line="360" w:lineRule="auto"/>
        <w:ind w:firstLine="318" w:firstLineChars="150"/>
        <w:rPr>
          <w:rFonts w:hint="eastAsia" w:ascii="宋体" w:hAnsi="宋体" w:cs="宋体"/>
          <w:color w:val="auto"/>
          <w:spacing w:val="-14"/>
          <w:sz w:val="24"/>
          <w:szCs w:val="24"/>
          <w:highlight w:val="none"/>
        </w:rPr>
      </w:pPr>
      <w:r>
        <w:rPr>
          <w:rFonts w:hint="eastAsia" w:ascii="宋体" w:hAnsi="宋体" w:cs="宋体"/>
          <w:color w:val="auto"/>
          <w:spacing w:val="-14"/>
          <w:sz w:val="24"/>
          <w:szCs w:val="24"/>
          <w:highlight w:val="none"/>
        </w:rPr>
        <w:t>2、招标货物（服务）名称、数量及主要技术规格：见后</w:t>
      </w:r>
      <w:r>
        <w:rPr>
          <w:rFonts w:hint="eastAsia" w:ascii="宋体" w:hAnsi="宋体" w:cs="宋体"/>
          <w:color w:val="auto"/>
          <w:sz w:val="24"/>
          <w:szCs w:val="24"/>
          <w:highlight w:val="none"/>
        </w:rPr>
        <w:t>附招标货物（</w:t>
      </w:r>
      <w:r>
        <w:rPr>
          <w:rFonts w:hint="eastAsia" w:ascii="宋体" w:hAnsi="宋体" w:cs="宋体"/>
          <w:color w:val="auto"/>
          <w:spacing w:val="-14"/>
          <w:sz w:val="24"/>
          <w:szCs w:val="24"/>
          <w:highlight w:val="none"/>
        </w:rPr>
        <w:t>服务）</w:t>
      </w:r>
      <w:r>
        <w:rPr>
          <w:rFonts w:hint="eastAsia" w:ascii="宋体" w:hAnsi="宋体" w:cs="宋体"/>
          <w:color w:val="auto"/>
          <w:sz w:val="24"/>
          <w:szCs w:val="24"/>
          <w:highlight w:val="none"/>
        </w:rPr>
        <w:t>一览表。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3、招标文件获取方式：</w:t>
      </w:r>
      <w:r>
        <w:rPr>
          <w:rFonts w:hint="eastAsia" w:ascii="宋体" w:hAnsi="宋体" w:cs="宋体"/>
          <w:bCs/>
          <w:color w:val="auto"/>
          <w:sz w:val="24"/>
          <w:szCs w:val="24"/>
          <w:highlight w:val="none"/>
        </w:rPr>
        <w:t>2024年</w:t>
      </w:r>
      <w:r>
        <w:rPr>
          <w:rFonts w:hint="eastAsia" w:ascii="宋体" w:hAnsi="宋体" w:cs="宋体"/>
          <w:bCs/>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26</w:t>
      </w:r>
      <w:r>
        <w:rPr>
          <w:rFonts w:hint="eastAsia" w:ascii="宋体" w:hAnsi="宋体" w:cs="宋体"/>
          <w:color w:val="auto"/>
          <w:sz w:val="24"/>
          <w:szCs w:val="24"/>
          <w:highlight w:val="none"/>
        </w:rPr>
        <w:t>日至2024年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日，有意向的供应商应在厦门招投标网（http:// www.xmztb.com，下同）注册账号，登录后可免费在线浏览招标文件，完成缴费并下载招标文件后方具备投标资格。缴费仅支持在线扫码支付。</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A、供应商注册详见厦门招投标网－办事指南－操作手册—《供应商注册登记操作手册》</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B、缴费及下载招标文件详见厦门招投标网－办事指南－操作手册—《供应商招标项目操作手册》</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C、请各投标人务必在招标文件购买截止时间前，在线扫码支付完成缴费并下载招标文件，否则不具备投标资格。</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D、纸质招标文件(若需要)获取方式：领取地点在厦门市湖里区机场北路476号万翔招标4楼售标室。纸质招标文件领取事宜联系电话：0592-2219823。</w:t>
      </w:r>
    </w:p>
    <w:p>
      <w:pPr>
        <w:pStyle w:val="5"/>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4、招标文件售价：每个合同包</w:t>
      </w:r>
      <w:r>
        <w:rPr>
          <w:rFonts w:hint="eastAsia" w:hAnsi="宋体" w:cs="宋体"/>
          <w:color w:val="auto"/>
          <w:sz w:val="24"/>
          <w:szCs w:val="24"/>
          <w:highlight w:val="none"/>
          <w:u w:val="single"/>
        </w:rPr>
        <w:t xml:space="preserve"> 50 </w:t>
      </w:r>
      <w:r>
        <w:rPr>
          <w:rFonts w:hint="eastAsia" w:hAnsi="宋体" w:cs="宋体"/>
          <w:color w:val="auto"/>
          <w:sz w:val="24"/>
          <w:szCs w:val="24"/>
          <w:highlight w:val="none"/>
        </w:rPr>
        <w:t>元人民币，售后不退。</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5、投标截止时间、地点：投标文件应于2024年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16</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0（北京时间）之前提交到</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2</w:t>
      </w:r>
      <w:r>
        <w:rPr>
          <w:rFonts w:hint="eastAsia" w:ascii="宋体" w:hAnsi="宋体" w:cs="宋体"/>
          <w:b/>
          <w:color w:val="auto"/>
          <w:sz w:val="24"/>
          <w:szCs w:val="24"/>
          <w:highlight w:val="none"/>
          <w:u w:val="single"/>
        </w:rPr>
        <w:t>号收标窗口</w:t>
      </w:r>
      <w:r>
        <w:rPr>
          <w:rFonts w:hint="eastAsia" w:ascii="宋体" w:hAnsi="宋体" w:cs="宋体"/>
          <w:color w:val="auto"/>
          <w:sz w:val="24"/>
          <w:szCs w:val="24"/>
          <w:highlight w:val="none"/>
        </w:rPr>
        <w:t>。逾期收到的或不符合规定的投标文件将被拒绝。</w:t>
      </w:r>
    </w:p>
    <w:p>
      <w:pPr>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6、开标时间、地点: 2024年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16</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区开标室6（C404）</w:t>
      </w:r>
      <w:r>
        <w:rPr>
          <w:rFonts w:hint="eastAsia" w:ascii="宋体" w:hAnsi="宋体" w:cs="宋体"/>
          <w:color w:val="auto"/>
          <w:sz w:val="24"/>
          <w:szCs w:val="24"/>
          <w:highlight w:val="none"/>
        </w:rPr>
        <w:t>。</w:t>
      </w:r>
    </w:p>
    <w:p>
      <w:pPr>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7、本项目（不接受）联合体投标。</w:t>
      </w:r>
    </w:p>
    <w:p>
      <w:pPr>
        <w:spacing w:line="360" w:lineRule="auto"/>
        <w:ind w:firstLine="360" w:firstLineChars="150"/>
        <w:rPr>
          <w:rFonts w:hint="eastAsia" w:ascii="宋体" w:hAnsi="宋体" w:cs="宋体"/>
          <w:color w:val="auto"/>
          <w:sz w:val="24"/>
          <w:szCs w:val="24"/>
          <w:highlight w:val="none"/>
        </w:rPr>
      </w:pPr>
      <w:r>
        <w:rPr>
          <w:rFonts w:hint="eastAsia" w:ascii="宋体" w:hAnsi="宋体" w:cs="宋体"/>
          <w:bCs/>
          <w:color w:val="auto"/>
          <w:sz w:val="24"/>
          <w:szCs w:val="24"/>
          <w:highlight w:val="none"/>
        </w:rPr>
        <w:t>8、招标文件如有变更，</w:t>
      </w:r>
      <w:r>
        <w:rPr>
          <w:rFonts w:hint="eastAsia" w:ascii="宋体" w:hAnsi="宋体" w:cs="宋体"/>
          <w:b/>
          <w:color w:val="auto"/>
          <w:sz w:val="24"/>
          <w:szCs w:val="24"/>
          <w:highlight w:val="none"/>
          <w:u w:val="single"/>
        </w:rPr>
        <w:t xml:space="preserve">厦门万翔招标有限公司 </w:t>
      </w:r>
      <w:r>
        <w:rPr>
          <w:rFonts w:hint="eastAsia" w:ascii="宋体" w:hAnsi="宋体" w:cs="宋体"/>
          <w:bCs/>
          <w:color w:val="auto"/>
          <w:sz w:val="24"/>
          <w:szCs w:val="24"/>
          <w:highlight w:val="none"/>
        </w:rPr>
        <w:t>将通过中国政府采购网、厦门招投标网（</w:t>
      </w:r>
      <w:r>
        <w:rPr>
          <w:rFonts w:hint="eastAsia" w:ascii="宋体" w:hAnsi="宋体" w:cs="宋体"/>
          <w:color w:val="auto"/>
          <w:sz w:val="24"/>
          <w:szCs w:val="24"/>
          <w:highlight w:val="none"/>
        </w:rPr>
        <w:t>www.xmztb.com</w:t>
      </w:r>
      <w:r>
        <w:rPr>
          <w:rFonts w:hint="eastAsia" w:ascii="宋体" w:hAnsi="宋体" w:cs="宋体"/>
          <w:bCs/>
          <w:color w:val="auto"/>
          <w:sz w:val="24"/>
          <w:szCs w:val="24"/>
          <w:highlight w:val="none"/>
        </w:rPr>
        <w:t>）等媒体发布通知信息，请投标人关注</w:t>
      </w:r>
      <w:r>
        <w:rPr>
          <w:rFonts w:hint="eastAsia" w:ascii="宋体" w:hAnsi="宋体" w:cs="宋体"/>
          <w:color w:val="auto"/>
          <w:sz w:val="24"/>
          <w:szCs w:val="24"/>
          <w:highlight w:val="none"/>
        </w:rPr>
        <w:t>。</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 xml:space="preserve">   9、友情提醒：本项目仅限网上购买招标文件，投标人必须按招标文件要求递交纸质投标文件。 </w:t>
      </w:r>
    </w:p>
    <w:p>
      <w:pPr>
        <w:spacing w:line="360" w:lineRule="auto"/>
        <w:ind w:firstLine="240" w:firstLineChars="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pPr>
        <w:spacing w:line="360" w:lineRule="auto"/>
        <w:ind w:firstLine="361" w:firstLineChars="15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pPr>
        <w:tabs>
          <w:tab w:val="left" w:pos="1140"/>
        </w:tabs>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vAlign w:val="center"/>
          </w:tcPr>
          <w:p>
            <w:pPr>
              <w:spacing w:line="360" w:lineRule="auto"/>
              <w:jc w:val="center"/>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409" w:type="dxa"/>
            <w:vAlign w:val="center"/>
          </w:tcPr>
          <w:p>
            <w:pPr>
              <w:spacing w:line="360" w:lineRule="auto"/>
              <w:jc w:val="center"/>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239" w:type="dxa"/>
            <w:vAlign w:val="center"/>
          </w:tcPr>
          <w:p>
            <w:pPr>
              <w:spacing w:line="360" w:lineRule="auto"/>
              <w:jc w:val="center"/>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3348" w:type="dxa"/>
            <w:vAlign w:val="center"/>
          </w:tcPr>
          <w:p>
            <w:pPr>
              <w:spacing w:line="360" w:lineRule="auto"/>
              <w:jc w:val="center"/>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2976" w:type="dxa"/>
            <w:vAlign w:val="center"/>
          </w:tcPr>
          <w:p>
            <w:pPr>
              <w:spacing w:line="360" w:lineRule="auto"/>
              <w:jc w:val="center"/>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09"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239" w:type="dxa"/>
            <w:vAlign w:val="center"/>
          </w:tcPr>
          <w:p>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陈先生、傅先生</w:t>
            </w:r>
          </w:p>
        </w:tc>
        <w:tc>
          <w:tcPr>
            <w:tcW w:w="3348" w:type="dxa"/>
            <w:vAlign w:val="center"/>
          </w:tcPr>
          <w:p>
            <w:pPr>
              <w:spacing w:line="360" w:lineRule="auto"/>
              <w:rPr>
                <w:rFonts w:hint="eastAsia" w:ascii="宋体" w:hAnsi="宋体" w:cs="宋体"/>
                <w:color w:val="auto"/>
                <w:kern w:val="0"/>
                <w:sz w:val="24"/>
                <w:szCs w:val="24"/>
                <w:highlight w:val="none"/>
              </w:rPr>
            </w:pPr>
            <w:r>
              <w:rPr>
                <w:rFonts w:hint="eastAsia" w:ascii="宋体" w:hAnsi="宋体" w:cs="宋体"/>
                <w:color w:val="auto"/>
                <w:sz w:val="24"/>
                <w:szCs w:val="24"/>
                <w:highlight w:val="none"/>
              </w:rPr>
              <w:t>负责招标文件的咨询、答疑等工作</w:t>
            </w:r>
          </w:p>
        </w:tc>
        <w:tc>
          <w:tcPr>
            <w:tcW w:w="2976" w:type="dxa"/>
            <w:vAlign w:val="center"/>
          </w:tcPr>
          <w:p>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0592-</w:t>
            </w:r>
            <w:r>
              <w:rPr>
                <w:rFonts w:hint="eastAsia" w:ascii="宋体" w:hAnsi="宋体" w:cs="宋体"/>
                <w:color w:val="auto"/>
                <w:sz w:val="24"/>
                <w:szCs w:val="24"/>
                <w:highlight w:val="none"/>
                <w:lang w:val="en-US" w:eastAsia="zh-CN"/>
              </w:rPr>
              <w:t>5706826、5792860</w:t>
            </w:r>
          </w:p>
          <w:p>
            <w:pPr>
              <w:spacing w:line="360" w:lineRule="auto"/>
              <w:rPr>
                <w:rFonts w:hint="eastAsia"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09"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投标保证金</w:t>
            </w:r>
          </w:p>
        </w:tc>
        <w:tc>
          <w:tcPr>
            <w:tcW w:w="1239"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陈</w:t>
            </w:r>
            <w:r>
              <w:rPr>
                <w:rFonts w:hint="eastAsia" w:ascii="宋体" w:hAnsi="宋体" w:cs="宋体"/>
                <w:color w:val="auto"/>
                <w:sz w:val="24"/>
                <w:szCs w:val="24"/>
                <w:highlight w:val="none"/>
              </w:rPr>
              <w:t>小姐</w:t>
            </w:r>
          </w:p>
        </w:tc>
        <w:tc>
          <w:tcPr>
            <w:tcW w:w="3348"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投标保证金收、退</w:t>
            </w:r>
          </w:p>
        </w:tc>
        <w:tc>
          <w:tcPr>
            <w:tcW w:w="2976" w:type="dxa"/>
            <w:vAlign w:val="center"/>
          </w:tcPr>
          <w:p>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09"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239"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3348"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2976" w:type="dxa"/>
            <w:vAlign w:val="center"/>
          </w:tcPr>
          <w:p>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0592-</w:t>
            </w:r>
            <w:r>
              <w:rPr>
                <w:rFonts w:hint="eastAsia" w:ascii="宋体" w:hAnsi="宋体" w:cs="宋体"/>
                <w:color w:val="auto"/>
                <w:sz w:val="24"/>
                <w:szCs w:val="24"/>
                <w:highlight w:val="none"/>
              </w:rPr>
              <w:t xml:space="preserve"> </w:t>
            </w:r>
            <w:r>
              <w:rPr>
                <w:rFonts w:hint="eastAsia" w:ascii="宋体" w:hAnsi="宋体" w:cs="宋体"/>
                <w:color w:val="auto"/>
                <w:kern w:val="0"/>
                <w:sz w:val="24"/>
                <w:szCs w:val="24"/>
                <w:highlight w:val="none"/>
              </w:rPr>
              <w:t>5703367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09"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监督</w:t>
            </w:r>
          </w:p>
        </w:tc>
        <w:tc>
          <w:tcPr>
            <w:tcW w:w="1239"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3348" w:type="dxa"/>
            <w:vAlign w:val="center"/>
          </w:tcPr>
          <w:p>
            <w:pPr>
              <w:spacing w:line="360" w:lineRule="auto"/>
              <w:rPr>
                <w:rFonts w:hint="eastAsia" w:ascii="宋体" w:hAnsi="宋体" w:cs="宋体"/>
                <w:color w:val="auto"/>
                <w:sz w:val="24"/>
                <w:szCs w:val="24"/>
                <w:highlight w:val="none"/>
              </w:rPr>
            </w:pPr>
            <w:r>
              <w:rPr>
                <w:rFonts w:hint="eastAsia" w:ascii="宋体" w:hAnsi="宋体" w:cs="宋体"/>
                <w:b/>
                <w:color w:val="auto"/>
                <w:sz w:val="24"/>
                <w:szCs w:val="24"/>
                <w:highlight w:val="none"/>
              </w:rPr>
              <w:t>欢迎投标人对项目采购过程中公告发布、招标文件购买、投标保证金缴交和退还、代理服务费收取、中标通知书发放等环节的服务进行监督。我们将竭诚为您提供最优质的服务。</w:t>
            </w:r>
          </w:p>
        </w:tc>
        <w:tc>
          <w:tcPr>
            <w:tcW w:w="2976" w:type="dxa"/>
            <w:vAlign w:val="center"/>
          </w:tcPr>
          <w:p>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09"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239" w:type="dxa"/>
            <w:vAlign w:val="center"/>
          </w:tcPr>
          <w:p>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3348" w:type="dxa"/>
            <w:vAlign w:val="center"/>
          </w:tcPr>
          <w:p>
            <w:pPr>
              <w:spacing w:line="360" w:lineRule="auto"/>
              <w:rPr>
                <w:rFonts w:hint="eastAsia"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2976"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电话0592-2218761</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传真0592-5706660-6969</w:t>
            </w:r>
          </w:p>
          <w:p>
            <w:pPr>
              <w:spacing w:line="360" w:lineRule="auto"/>
              <w:rPr>
                <w:rFonts w:hint="eastAsia" w:ascii="宋体" w:hAnsi="宋体" w:cs="宋体"/>
                <w:color w:val="auto"/>
                <w:sz w:val="24"/>
                <w:szCs w:val="24"/>
                <w:highlight w:val="none"/>
              </w:rPr>
            </w:pPr>
            <w:r>
              <w:rPr>
                <w:color w:val="auto"/>
                <w:highlight w:val="none"/>
              </w:rPr>
              <w:fldChar w:fldCharType="begin"/>
            </w:r>
            <w:r>
              <w:rPr>
                <w:color w:val="auto"/>
                <w:highlight w:val="none"/>
              </w:rPr>
              <w:instrText xml:space="preserve"> HYPERLINK "mailto:邮箱hcq@iport.com.cn" </w:instrText>
            </w:r>
            <w:r>
              <w:rPr>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pPr>
              <w:spacing w:line="360" w:lineRule="auto"/>
              <w:rPr>
                <w:rFonts w:hint="eastAsia"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bl>
    <w:p>
      <w:pPr>
        <w:tabs>
          <w:tab w:val="left" w:pos="114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13、投标保证金及代理服务费缴交账户：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240"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投标保证金缴交账户</w:t>
            </w:r>
          </w:p>
        </w:tc>
        <w:tc>
          <w:tcPr>
            <w:tcW w:w="4602"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代理服务费缴交账户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24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账    号</w:t>
            </w:r>
          </w:p>
        </w:tc>
        <w:tc>
          <w:tcPr>
            <w:tcW w:w="324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户名</w:t>
            </w:r>
          </w:p>
        </w:tc>
        <w:tc>
          <w:tcPr>
            <w:tcW w:w="7842" w:type="dxa"/>
            <w:gridSpan w:val="2"/>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pPr>
        <w:tabs>
          <w:tab w:val="left" w:pos="1140"/>
        </w:tabs>
        <w:spacing w:line="360" w:lineRule="auto"/>
        <w:ind w:firstLine="560"/>
        <w:rPr>
          <w:rFonts w:hint="eastAsia" w:ascii="宋体" w:hAnsi="宋体" w:cs="宋体"/>
          <w:color w:val="auto"/>
          <w:sz w:val="24"/>
          <w:szCs w:val="24"/>
          <w:highlight w:val="none"/>
        </w:rPr>
      </w:pPr>
    </w:p>
    <w:p>
      <w:pPr>
        <w:spacing w:line="360" w:lineRule="auto"/>
        <w:ind w:firstLine="360"/>
        <w:rPr>
          <w:rFonts w:hint="eastAsia" w:ascii="宋体" w:hAnsi="宋体" w:cs="宋体"/>
          <w:color w:val="auto"/>
          <w:sz w:val="24"/>
          <w:szCs w:val="24"/>
          <w:highlight w:val="none"/>
        </w:rPr>
      </w:pPr>
      <w:r>
        <w:rPr>
          <w:rFonts w:hint="eastAsia" w:ascii="宋体" w:hAnsi="宋体" w:cs="宋体"/>
          <w:color w:val="auto"/>
          <w:sz w:val="24"/>
          <w:szCs w:val="24"/>
          <w:highlight w:val="none"/>
        </w:rPr>
        <w:t>注：投标人须将相关的费用缴交至上表对应的账号，缴错账号而产生的一切后果由投标人自行承担。</w:t>
      </w:r>
    </w:p>
    <w:p>
      <w:pPr>
        <w:spacing w:line="360" w:lineRule="auto"/>
        <w:ind w:firstLine="360"/>
        <w:rPr>
          <w:rFonts w:hint="eastAsia" w:ascii="宋体" w:hAnsi="宋体" w:cs="宋体"/>
          <w:b/>
          <w:color w:val="auto"/>
          <w:sz w:val="24"/>
          <w:szCs w:val="24"/>
          <w:highlight w:val="none"/>
        </w:rPr>
      </w:pPr>
    </w:p>
    <w:p>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招标代理机构：厦门万翔招标有限公司</w:t>
      </w:r>
    </w:p>
    <w:p>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地  址：厦门市湖里区机场北路476号四楼 </w:t>
      </w:r>
    </w:p>
    <w:p>
      <w:pPr>
        <w:tabs>
          <w:tab w:val="left" w:pos="2775"/>
        </w:tabs>
        <w:spacing w:line="360" w:lineRule="auto"/>
        <w:ind w:firstLine="465"/>
        <w:rPr>
          <w:rFonts w:hint="eastAsia" w:ascii="宋体" w:hAnsi="宋体" w:cs="宋体"/>
          <w:color w:val="auto"/>
          <w:sz w:val="24"/>
          <w:szCs w:val="24"/>
          <w:highlight w:val="none"/>
        </w:rPr>
      </w:pPr>
      <w:r>
        <w:rPr>
          <w:rFonts w:hint="eastAsia" w:ascii="宋体" w:hAnsi="宋体" w:cs="宋体"/>
          <w:color w:val="auto"/>
          <w:sz w:val="24"/>
          <w:szCs w:val="24"/>
          <w:highlight w:val="none"/>
        </w:rPr>
        <w:t>邮  编： 361006</w:t>
      </w:r>
    </w:p>
    <w:p>
      <w:pPr>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合同款项事宜联系人：陈先生0592-5771535</w:t>
      </w:r>
    </w:p>
    <w:p>
      <w:pPr>
        <w:pStyle w:val="10"/>
        <w:ind w:firstLine="210"/>
        <w:rPr>
          <w:color w:val="auto"/>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tabs>
          <w:tab w:val="left" w:pos="2775"/>
        </w:tabs>
        <w:spacing w:line="360" w:lineRule="auto"/>
        <w:ind w:firstLine="465"/>
        <w:rPr>
          <w:rFonts w:hint="eastAsia" w:ascii="宋体" w:hAnsi="宋体" w:cs="宋体"/>
          <w:color w:val="auto"/>
          <w:sz w:val="24"/>
          <w:szCs w:val="24"/>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r>
        <w:rPr>
          <w:rFonts w:hint="eastAsia" w:ascii="宋体" w:hAnsi="宋体" w:cs="宋体"/>
          <w:color w:val="auto"/>
          <w:sz w:val="32"/>
          <w:szCs w:val="32"/>
          <w:highlight w:val="none"/>
        </w:rPr>
        <w:t>附：招标货物(服务)一览表</w:t>
      </w:r>
    </w:p>
    <w:p>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招标货物（服务）一览表</w:t>
      </w:r>
    </w:p>
    <w:tbl>
      <w:tblPr>
        <w:tblStyle w:val="12"/>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1440"/>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交货地点</w:t>
            </w:r>
          </w:p>
        </w:tc>
        <w:tc>
          <w:tcPr>
            <w:tcW w:w="144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color w:val="auto"/>
                <w:sz w:val="24"/>
                <w:szCs w:val="24"/>
                <w:highlight w:val="none"/>
              </w:rPr>
              <w:t>交付使用期</w:t>
            </w:r>
          </w:p>
        </w:tc>
        <w:tc>
          <w:tcPr>
            <w:tcW w:w="1419"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使用单位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XM2024-DZ0043</w:t>
            </w:r>
          </w:p>
        </w:tc>
        <w:tc>
          <w:tcPr>
            <w:tcW w:w="952"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科研教学楼办公家具</w:t>
            </w:r>
          </w:p>
        </w:tc>
        <w:tc>
          <w:tcPr>
            <w:tcW w:w="90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1项</w:t>
            </w:r>
          </w:p>
        </w:tc>
        <w:tc>
          <w:tcPr>
            <w:tcW w:w="162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详见招标内容及要求</w:t>
            </w:r>
          </w:p>
        </w:tc>
        <w:tc>
          <w:tcPr>
            <w:tcW w:w="108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使用单位指定地点</w:t>
            </w:r>
          </w:p>
        </w:tc>
        <w:tc>
          <w:tcPr>
            <w:tcW w:w="1440"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合同签订之日起45个日历日内（含交货、安装并验收合格交付使用）</w:t>
            </w:r>
          </w:p>
        </w:tc>
        <w:tc>
          <w:tcPr>
            <w:tcW w:w="1419" w:type="dxa"/>
            <w:tcBorders>
              <w:top w:val="single" w:color="auto" w:sz="4" w:space="0"/>
              <w:left w:val="single" w:color="auto" w:sz="4" w:space="0"/>
              <w:bottom w:val="single" w:color="auto" w:sz="4" w:space="0"/>
              <w:right w:val="single" w:color="auto" w:sz="4" w:space="0"/>
            </w:tcBorders>
            <w:vAlign w:val="center"/>
          </w:tcPr>
          <w:p>
            <w:pPr>
              <w:pStyle w:val="3"/>
              <w:tabs>
                <w:tab w:val="left" w:pos="8360"/>
              </w:tabs>
              <w:spacing w:line="360" w:lineRule="auto"/>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复旦大学附属中山医院厦门医院</w:t>
            </w:r>
          </w:p>
        </w:tc>
      </w:tr>
    </w:tbl>
    <w:p>
      <w:pPr>
        <w:pStyle w:val="5"/>
        <w:tabs>
          <w:tab w:val="left" w:pos="8360"/>
        </w:tabs>
        <w:spacing w:line="360" w:lineRule="auto"/>
        <w:jc w:val="left"/>
        <w:rPr>
          <w:rFonts w:hint="eastAsia" w:hAnsi="宋体" w:cs="宋体"/>
          <w:color w:val="auto"/>
          <w:sz w:val="24"/>
          <w:szCs w:val="24"/>
          <w:highlight w:val="none"/>
        </w:rPr>
      </w:pPr>
    </w:p>
    <w:p>
      <w:pPr>
        <w:pStyle w:val="5"/>
        <w:tabs>
          <w:tab w:val="left" w:pos="8360"/>
        </w:tabs>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rPr>
        <w:t>注：投标人可按合同包投标，对同一合同包内所有品目号内容投标时必须完整。评标与授标以合同包为单位。</w:t>
      </w:r>
    </w:p>
    <w:p>
      <w:pPr>
        <w:pStyle w:val="5"/>
        <w:tabs>
          <w:tab w:val="left" w:pos="8360"/>
        </w:tabs>
        <w:spacing w:line="360" w:lineRule="auto"/>
        <w:jc w:val="left"/>
        <w:rPr>
          <w:rFonts w:hint="eastAsia" w:hAnsi="宋体" w:cs="宋体"/>
          <w:color w:val="auto"/>
          <w:sz w:val="24"/>
          <w:szCs w:val="24"/>
          <w:highlight w:val="none"/>
        </w:rPr>
      </w:pPr>
    </w:p>
    <w:p>
      <w:pPr>
        <w:pStyle w:val="2"/>
        <w:spacing w:line="360" w:lineRule="auto"/>
        <w:ind w:firstLine="0"/>
        <w:rPr>
          <w:rFonts w:hint="eastAsia" w:ascii="宋体" w:hAnsi="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pPr>
        <w:pStyle w:val="17"/>
        <w:spacing w:line="360" w:lineRule="auto"/>
        <w:jc w:val="center"/>
        <w:rPr>
          <w:rFonts w:hint="eastAsia" w:hAnsi="宋体" w:cs="宋体"/>
          <w:b/>
          <w:color w:val="auto"/>
          <w:sz w:val="32"/>
          <w:szCs w:val="32"/>
          <w:highlight w:val="none"/>
        </w:rPr>
      </w:pPr>
      <w:r>
        <w:rPr>
          <w:rFonts w:hint="eastAsia" w:hAnsi="宋体" w:cs="宋体"/>
          <w:b/>
          <w:color w:val="auto"/>
          <w:sz w:val="32"/>
          <w:szCs w:val="32"/>
          <w:highlight w:val="none"/>
        </w:rPr>
        <w:t>第二章  投标人须知</w:t>
      </w:r>
    </w:p>
    <w:p>
      <w:pPr>
        <w:pStyle w:val="17"/>
        <w:spacing w:line="360" w:lineRule="auto"/>
        <w:jc w:val="center"/>
        <w:rPr>
          <w:rFonts w:hint="eastAsia" w:hAnsi="宋体" w:cs="宋体"/>
          <w:color w:val="auto"/>
          <w:sz w:val="32"/>
          <w:szCs w:val="32"/>
          <w:highlight w:val="none"/>
        </w:rPr>
      </w:pPr>
      <w:r>
        <w:rPr>
          <w:rFonts w:hint="eastAsia" w:hAnsi="宋体" w:cs="宋体"/>
          <w:b/>
          <w:color w:val="auto"/>
          <w:sz w:val="32"/>
          <w:szCs w:val="32"/>
          <w:highlight w:val="none"/>
        </w:rPr>
        <w:t>投标人须知前附表1</w:t>
      </w:r>
    </w:p>
    <w:p>
      <w:pPr>
        <w:spacing w:line="360" w:lineRule="auto"/>
        <w:ind w:firstLine="527"/>
        <w:rPr>
          <w:rFonts w:hint="eastAsia" w:ascii="宋体" w:hAnsi="宋体" w:cs="宋体"/>
          <w:color w:val="auto"/>
          <w:sz w:val="24"/>
          <w:szCs w:val="24"/>
          <w:highlight w:val="none"/>
        </w:rPr>
      </w:pPr>
      <w:r>
        <w:rPr>
          <w:rFonts w:hint="eastAsia" w:ascii="宋体" w:hAnsi="宋体" w:cs="宋体"/>
          <w:color w:val="auto"/>
          <w:sz w:val="24"/>
          <w:szCs w:val="24"/>
          <w:highlight w:val="none"/>
        </w:rPr>
        <w:t>本须知前附表1的条款号是与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项号</w:t>
            </w:r>
          </w:p>
        </w:tc>
        <w:tc>
          <w:tcPr>
            <w:tcW w:w="1080" w:type="dxa"/>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380" w:type="dxa"/>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w:t>
            </w:r>
          </w:p>
        </w:tc>
        <w:tc>
          <w:tcPr>
            <w:tcW w:w="108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1.1</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项目名称：科研教学楼办公家具 </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项目内容： 科研教学楼办公家具</w:t>
            </w:r>
          </w:p>
          <w:p>
            <w:pPr>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none"/>
              </w:rPr>
              <w:t>XM2024-DZ0043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p>
        </w:tc>
        <w:tc>
          <w:tcPr>
            <w:tcW w:w="108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资格标准：</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详见第二章《投标人须知》第3条，以及第三章《招标内容及要求》有关内容。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108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11.1</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投标有效期：投标截止之日起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个日历日。</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有效期不足将导致其投标文件被拒绝。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w:t>
            </w:r>
          </w:p>
        </w:tc>
        <w:tc>
          <w:tcPr>
            <w:tcW w:w="1080" w:type="dxa"/>
            <w:vAlign w:val="center"/>
          </w:tcPr>
          <w:p>
            <w:pPr>
              <w:spacing w:line="360" w:lineRule="auto"/>
              <w:jc w:val="center"/>
              <w:rPr>
                <w:rFonts w:hint="eastAsia" w:ascii="宋体" w:hAnsi="宋体" w:cs="宋体"/>
                <w:color w:val="auto"/>
                <w:sz w:val="24"/>
                <w:szCs w:val="24"/>
                <w:highlight w:val="none"/>
              </w:rPr>
            </w:pPr>
          </w:p>
        </w:tc>
        <w:tc>
          <w:tcPr>
            <w:tcW w:w="7380" w:type="dxa"/>
            <w:vAlign w:val="center"/>
          </w:tcPr>
          <w:p>
            <w:pPr>
              <w:widowControl/>
              <w:spacing w:line="360" w:lineRule="auto"/>
              <w:jc w:val="left"/>
              <w:rPr>
                <w:rFonts w:hint="eastAsia" w:ascii="宋体" w:hAnsi="宋体" w:cs="宋体"/>
                <w:b/>
                <w:color w:val="auto"/>
                <w:sz w:val="24"/>
                <w:szCs w:val="24"/>
                <w:highlight w:val="none"/>
                <w:u w:val="single"/>
              </w:rPr>
            </w:pPr>
            <w:r>
              <w:rPr>
                <w:rFonts w:hint="eastAsia" w:ascii="宋体" w:hAnsi="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2</w:t>
            </w:r>
            <w:r>
              <w:rPr>
                <w:rFonts w:hint="eastAsia" w:ascii="宋体" w:hAnsi="宋体" w:cs="宋体"/>
                <w:b/>
                <w:color w:val="auto"/>
                <w:sz w:val="24"/>
                <w:szCs w:val="24"/>
                <w:highlight w:val="none"/>
                <w:u w:val="single"/>
              </w:rPr>
              <w:t>号收标窗口</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陈先生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w:t>
            </w:r>
          </w:p>
        </w:tc>
        <w:tc>
          <w:tcPr>
            <w:tcW w:w="108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投标保证金：</w:t>
            </w:r>
            <w:r>
              <w:rPr>
                <w:rFonts w:hint="eastAsia" w:ascii="宋体" w:hAnsi="宋体" w:cs="宋体"/>
                <w:color w:val="auto"/>
                <w:sz w:val="24"/>
                <w:szCs w:val="24"/>
                <w:highlight w:val="none"/>
                <w:u w:val="single"/>
              </w:rPr>
              <w:t xml:space="preserve">   0元       </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①投标保证金以转账、电汇两种形式提交（不收取现金、现金支票，不能用个人卡在银联支付系统转账，否则作未提交投标保证金处理）。</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②若项目存在分合同包采购的，则投标保证金应按不同的合同包号分别提交。</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③投标人为中小企业的，其投标保证金减半交纳。减半交纳投标保证金的投标人应按照招标文件格式要求在投标文件中提供《中小企业声明函》。</w:t>
            </w:r>
          </w:p>
          <w:p>
            <w:pPr>
              <w:spacing w:line="360" w:lineRule="auto"/>
              <w:rPr>
                <w:rFonts w:hint="eastAsia" w:ascii="宋体" w:hAnsi="宋体" w:cs="宋体"/>
                <w:color w:val="auto"/>
                <w:kern w:val="0"/>
                <w:sz w:val="24"/>
                <w:szCs w:val="24"/>
                <w:highlight w:val="none"/>
              </w:rPr>
            </w:pPr>
            <w:r>
              <w:rPr>
                <w:rFonts w:hint="eastAsia" w:ascii="宋体" w:hAnsi="宋体" w:cs="宋体"/>
                <w:color w:val="auto"/>
                <w:sz w:val="24"/>
                <w:szCs w:val="24"/>
                <w:highlight w:val="none"/>
              </w:rPr>
              <w:t>④</w:t>
            </w:r>
            <w:r>
              <w:rPr>
                <w:rFonts w:hint="eastAsia" w:ascii="宋体" w:hAnsi="宋体" w:cs="宋体"/>
                <w:color w:val="auto"/>
                <w:kern w:val="0"/>
                <w:sz w:val="24"/>
                <w:szCs w:val="24"/>
                <w:highlight w:val="none"/>
              </w:rPr>
              <w:t>投标保证金应在投标截止时间前到账。</w:t>
            </w:r>
          </w:p>
          <w:p>
            <w:pPr>
              <w:spacing w:line="360" w:lineRule="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未按前述规定缴交投标保证金的，投标无效。</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6</w:t>
            </w:r>
          </w:p>
        </w:tc>
        <w:tc>
          <w:tcPr>
            <w:tcW w:w="108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13.1</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投标文件份数：正本一份、副本四份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7</w:t>
            </w:r>
          </w:p>
        </w:tc>
        <w:tc>
          <w:tcPr>
            <w:tcW w:w="108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19.1</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评标方法、标准及定标原则(含推荐中标候选供应商数量)：</w:t>
            </w:r>
          </w:p>
          <w:p>
            <w:pPr>
              <w:pStyle w:val="5"/>
              <w:spacing w:line="360" w:lineRule="auto"/>
              <w:rPr>
                <w:rFonts w:hint="eastAsia" w:hAnsi="宋体" w:cs="宋体"/>
                <w:color w:val="auto"/>
                <w:sz w:val="24"/>
                <w:szCs w:val="24"/>
                <w:highlight w:val="none"/>
              </w:rPr>
            </w:pPr>
            <w:r>
              <w:rPr>
                <w:rFonts w:hint="eastAsia" w:hAnsi="宋体" w:cs="宋体"/>
                <w:color w:val="auto"/>
                <w:sz w:val="24"/>
                <w:szCs w:val="24"/>
                <w:highlight w:val="none"/>
              </w:rPr>
              <w:t>详见《投标人须知前附表3》。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8</w:t>
            </w:r>
          </w:p>
        </w:tc>
        <w:tc>
          <w:tcPr>
            <w:tcW w:w="1080" w:type="dxa"/>
            <w:vAlign w:val="center"/>
          </w:tcPr>
          <w:p>
            <w:pPr>
              <w:spacing w:line="360" w:lineRule="auto"/>
              <w:ind w:right="-63" w:rightChars="-30"/>
              <w:rPr>
                <w:rFonts w:hint="eastAsia" w:ascii="宋体" w:hAnsi="宋体" w:cs="宋体"/>
                <w:color w:val="auto"/>
                <w:sz w:val="24"/>
                <w:szCs w:val="24"/>
                <w:highlight w:val="none"/>
              </w:rPr>
            </w:pPr>
            <w:r>
              <w:rPr>
                <w:rFonts w:hint="eastAsia" w:ascii="宋体" w:hAnsi="宋体" w:cs="宋体"/>
                <w:color w:val="auto"/>
                <w:sz w:val="24"/>
                <w:szCs w:val="24"/>
                <w:highlight w:val="none"/>
              </w:rPr>
              <w:t>12.9</w:t>
            </w:r>
          </w:p>
        </w:tc>
        <w:tc>
          <w:tcPr>
            <w:tcW w:w="7380" w:type="dxa"/>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代理服务费：</w:t>
            </w:r>
          </w:p>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1、代理服务费收费标准：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中标金额(万元)</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[0―100]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（100－500]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（500-1000]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（1000-5000]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（5000-10000]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（10000-50000]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adjustRightInd w:val="0"/>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（50000-100000]</w:t>
                  </w:r>
                </w:p>
              </w:tc>
              <w:tc>
                <w:tcPr>
                  <w:tcW w:w="2700" w:type="dxa"/>
                </w:tcPr>
                <w:p>
                  <w:pPr>
                    <w:adjustRightInd w:val="0"/>
                    <w:snapToGrid w:val="0"/>
                    <w:spacing w:line="360" w:lineRule="auto"/>
                    <w:ind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0.035%</w:t>
                  </w:r>
                </w:p>
              </w:tc>
            </w:tr>
          </w:tbl>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注：1、代理服务费的收取按差额定率累进法计算,由中标供应商支付。</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2、中标供应商以转账或汇款方式提交。</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3、中标供应商为中小企业的，其代理服务费按照上述服务收费标准下浮10%进行支付。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监督管理部门：厦门市财政局。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10</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是否允许进口产品参加本采购项目：</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tc>
      </w:tr>
    </w:tbl>
    <w:p>
      <w:pPr>
        <w:tabs>
          <w:tab w:val="left" w:pos="-1080"/>
          <w:tab w:val="left" w:pos="180"/>
          <w:tab w:val="left" w:pos="1080"/>
        </w:tabs>
        <w:spacing w:line="360" w:lineRule="auto"/>
        <w:rPr>
          <w:rFonts w:hint="eastAsia" w:ascii="宋体" w:hAnsi="宋体" w:cs="宋体"/>
          <w:b/>
          <w:color w:val="auto"/>
          <w:sz w:val="24"/>
          <w:szCs w:val="24"/>
          <w:highlight w:val="none"/>
        </w:rPr>
      </w:pPr>
    </w:p>
    <w:p>
      <w:pPr>
        <w:tabs>
          <w:tab w:val="left" w:pos="-1080"/>
          <w:tab w:val="left" w:pos="180"/>
          <w:tab w:val="left" w:pos="1080"/>
        </w:tabs>
        <w:spacing w:line="360" w:lineRule="auto"/>
        <w:rPr>
          <w:rFonts w:hint="eastAsia" w:ascii="宋体" w:hAnsi="宋体" w:cs="宋体"/>
          <w:b/>
          <w:color w:val="auto"/>
          <w:sz w:val="24"/>
          <w:szCs w:val="24"/>
          <w:highlight w:val="none"/>
        </w:rPr>
      </w:pPr>
    </w:p>
    <w:p>
      <w:pPr>
        <w:tabs>
          <w:tab w:val="left" w:pos="-1080"/>
          <w:tab w:val="left" w:pos="180"/>
          <w:tab w:val="left" w:pos="1080"/>
        </w:tabs>
        <w:spacing w:line="360" w:lineRule="auto"/>
        <w:rPr>
          <w:rFonts w:hint="eastAsia" w:ascii="宋体" w:hAnsi="宋体" w:cs="宋体"/>
          <w:b/>
          <w:color w:val="auto"/>
          <w:sz w:val="24"/>
          <w:szCs w:val="24"/>
          <w:highlight w:val="none"/>
        </w:rPr>
      </w:pPr>
    </w:p>
    <w:p>
      <w:pPr>
        <w:tabs>
          <w:tab w:val="left" w:pos="-1080"/>
          <w:tab w:val="left" w:pos="180"/>
          <w:tab w:val="left" w:pos="1080"/>
        </w:tabs>
        <w:spacing w:line="360" w:lineRule="auto"/>
        <w:rPr>
          <w:rFonts w:hint="eastAsia" w:ascii="宋体" w:hAnsi="宋体" w:cs="宋体"/>
          <w:b/>
          <w:color w:val="auto"/>
          <w:sz w:val="24"/>
          <w:szCs w:val="24"/>
          <w:highlight w:val="none"/>
        </w:rPr>
      </w:pPr>
    </w:p>
    <w:p>
      <w:pPr>
        <w:spacing w:line="360" w:lineRule="auto"/>
        <w:rPr>
          <w:rFonts w:hint="eastAsia" w:ascii="宋体" w:hAnsi="宋体" w:cs="宋体"/>
          <w:b/>
          <w:bCs/>
          <w:color w:val="auto"/>
          <w:sz w:val="24"/>
          <w:szCs w:val="24"/>
          <w:highlight w:val="none"/>
          <w:u w:val="single"/>
        </w:rPr>
      </w:pPr>
    </w:p>
    <w:p>
      <w:pPr>
        <w:spacing w:line="360" w:lineRule="auto"/>
        <w:jc w:val="center"/>
        <w:rPr>
          <w:rFonts w:hint="eastAsia" w:ascii="宋体" w:hAnsi="宋体" w:cs="宋体"/>
          <w:b/>
          <w:bCs/>
          <w:color w:val="auto"/>
          <w:sz w:val="32"/>
          <w:szCs w:val="32"/>
          <w:highlight w:val="none"/>
          <w:u w:val="single"/>
        </w:rPr>
      </w:pPr>
    </w:p>
    <w:p>
      <w:pPr>
        <w:spacing w:line="360" w:lineRule="auto"/>
        <w:jc w:val="center"/>
        <w:rPr>
          <w:rFonts w:hint="eastAsia" w:ascii="宋体" w:hAnsi="宋体" w:cs="宋体"/>
          <w:b/>
          <w:bCs/>
          <w:color w:val="auto"/>
          <w:sz w:val="32"/>
          <w:szCs w:val="32"/>
          <w:highlight w:val="none"/>
          <w:u w:val="single"/>
        </w:rPr>
      </w:pPr>
    </w:p>
    <w:p>
      <w:pPr>
        <w:spacing w:line="360" w:lineRule="auto"/>
        <w:jc w:val="center"/>
        <w:rPr>
          <w:rFonts w:hint="eastAsia" w:ascii="宋体" w:hAnsi="宋体" w:cs="宋体"/>
          <w:b/>
          <w:bCs/>
          <w:color w:val="auto"/>
          <w:sz w:val="32"/>
          <w:szCs w:val="32"/>
          <w:highlight w:val="none"/>
          <w:u w:val="single"/>
        </w:rPr>
      </w:pPr>
    </w:p>
    <w:p>
      <w:pPr>
        <w:spacing w:line="360" w:lineRule="auto"/>
        <w:jc w:val="center"/>
        <w:rPr>
          <w:rFonts w:hint="eastAsia" w:ascii="宋体" w:hAnsi="宋体" w:cs="宋体"/>
          <w:b/>
          <w:bCs/>
          <w:color w:val="auto"/>
          <w:sz w:val="32"/>
          <w:szCs w:val="32"/>
          <w:highlight w:val="none"/>
          <w:u w:val="single"/>
        </w:rPr>
      </w:pPr>
      <w:r>
        <w:rPr>
          <w:rFonts w:hint="eastAsia" w:ascii="宋体" w:hAnsi="宋体" w:cs="宋体"/>
          <w:b/>
          <w:bCs/>
          <w:color w:val="auto"/>
          <w:sz w:val="32"/>
          <w:szCs w:val="32"/>
          <w:highlight w:val="none"/>
          <w:u w:val="single"/>
        </w:rPr>
        <w:t>投标人须知前附表2:资格性、符合性检查表</w:t>
      </w:r>
    </w:p>
    <w:p>
      <w:pPr>
        <w:spacing w:line="360" w:lineRule="auto"/>
        <w:ind w:firstLine="527"/>
        <w:rPr>
          <w:rFonts w:hint="eastAsia" w:ascii="宋体" w:hAnsi="宋体" w:cs="宋体"/>
          <w:color w:val="auto"/>
          <w:sz w:val="24"/>
          <w:szCs w:val="24"/>
          <w:highlight w:val="none"/>
        </w:rPr>
      </w:pPr>
      <w:r>
        <w:rPr>
          <w:rFonts w:hint="eastAsia" w:ascii="宋体" w:hAnsi="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ascii="宋体" w:hAnsi="宋体" w:cs="宋体"/>
          <w:color w:val="auto"/>
          <w:sz w:val="24"/>
          <w:szCs w:val="24"/>
          <w:highlight w:val="none"/>
        </w:rPr>
        <w:t>2</w:t>
      </w:r>
      <w:r>
        <w:rPr>
          <w:rFonts w:hint="eastAsia" w:ascii="宋体" w:hAnsi="宋体" w:cs="宋体"/>
          <w:color w:val="auto"/>
          <w:sz w:val="24"/>
          <w:szCs w:val="24"/>
          <w:highlight w:val="none"/>
        </w:rPr>
        <w:t>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2"/>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资格性要求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项</w:t>
            </w:r>
          </w:p>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号</w:t>
            </w:r>
          </w:p>
        </w:tc>
        <w:tc>
          <w:tcPr>
            <w:tcW w:w="696" w:type="dxa"/>
            <w:tcBorders>
              <w:bottom w:val="single" w:color="auto" w:sz="4" w:space="0"/>
            </w:tcBorders>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章</w:t>
            </w:r>
          </w:p>
        </w:tc>
        <w:tc>
          <w:tcPr>
            <w:tcW w:w="1422" w:type="dxa"/>
            <w:tcBorders>
              <w:bottom w:val="single" w:color="auto" w:sz="4" w:space="0"/>
            </w:tcBorders>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5925" w:type="dxa"/>
            <w:tcBorders>
              <w:bottom w:val="single" w:color="auto" w:sz="4" w:space="0"/>
            </w:tcBorders>
            <w:vAlign w:val="center"/>
          </w:tcPr>
          <w:p>
            <w:pPr>
              <w:tabs>
                <w:tab w:val="left" w:pos="2848"/>
              </w:tabs>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合格的投标人</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具体内容详见第二章第3条“合格的投标人”。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投标人应具备《中华人民共和国政府采购法》第二十二条第一款规定的条件，并提供以下材料：</w:t>
            </w:r>
          </w:p>
          <w:p>
            <w:pPr>
              <w:spacing w:line="360" w:lineRule="auto"/>
              <w:ind w:firstLine="320" w:firstLineChars="133"/>
              <w:rPr>
                <w:rFonts w:hint="eastAsia" w:ascii="宋体" w:hAnsi="宋体"/>
                <w:b/>
                <w:color w:val="auto"/>
                <w:sz w:val="24"/>
                <w:highlight w:val="none"/>
              </w:rPr>
            </w:pPr>
            <w:r>
              <w:rPr>
                <w:rFonts w:hint="eastAsia" w:ascii="宋体" w:hAnsi="宋体"/>
                <w:b/>
                <w:color w:val="auto"/>
                <w:sz w:val="24"/>
                <w:highlight w:val="none"/>
              </w:rPr>
              <w:t>（1）投标人需提供营业执照（副本）复印件及组织机构代码证复印件，并加盖单位公章。投标人已提供加载有统一社会信用代码营业执照的，视为已提供税务登记证和组织机构代码证。</w:t>
            </w:r>
          </w:p>
          <w:p>
            <w:pPr>
              <w:spacing w:line="360" w:lineRule="auto"/>
              <w:ind w:firstLine="482" w:firstLineChars="200"/>
              <w:rPr>
                <w:rFonts w:hint="eastAsia" w:ascii="宋体" w:hAnsi="宋体" w:cs="宋体"/>
                <w:color w:val="auto"/>
                <w:sz w:val="24"/>
                <w:szCs w:val="24"/>
                <w:highlight w:val="none"/>
              </w:rPr>
            </w:pPr>
            <w:r>
              <w:rPr>
                <w:rFonts w:hint="eastAsia" w:ascii="宋体" w:hAnsi="宋体"/>
                <w:b/>
                <w:color w:val="auto"/>
                <w:sz w:val="24"/>
                <w:highlight w:val="none"/>
              </w:rPr>
              <w:t>投标人代表若不是单位负责人，应在投标文件中提供投标单位授权书原件及被授权代表身份证复印件。</w:t>
            </w:r>
          </w:p>
          <w:p>
            <w:pPr>
              <w:spacing w:line="360" w:lineRule="auto"/>
              <w:ind w:firstLine="360" w:firstLineChars="150"/>
              <w:rPr>
                <w:rFonts w:hint="eastAsia" w:ascii="宋体" w:hAnsi="宋体" w:cs="宋体"/>
                <w:b/>
                <w:bCs/>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kern w:val="0"/>
                <w:sz w:val="24"/>
                <w:szCs w:val="24"/>
                <w:highlight w:val="none"/>
              </w:rPr>
              <w:t>经审计的上一年度的年度财务报告（</w:t>
            </w:r>
            <w:r>
              <w:rPr>
                <w:rFonts w:hint="eastAsia" w:ascii="宋体" w:hAnsi="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及依法缴纳税收和社会保障资金的相关材料；若投标人因新注册成立等原因无法提供上述证明材料的，应在投标文件中提交如实的情况说明；</w:t>
            </w:r>
            <w:r>
              <w:rPr>
                <w:rFonts w:hint="eastAsia" w:ascii="宋体" w:hAnsi="宋体" w:cs="宋体"/>
                <w:b/>
                <w:bCs/>
                <w:color w:val="auto"/>
                <w:sz w:val="24"/>
                <w:szCs w:val="24"/>
                <w:highlight w:val="none"/>
              </w:rPr>
              <w:t>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财务状况报告指“四表一注”，即资产负债表、利润表、现金流量表、所有者权益变动表及其附注，或基本开户银行出具的资信证明。</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pPr>
              <w:spacing w:line="360" w:lineRule="auto"/>
              <w:ind w:firstLine="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（3）具备履行合同所必需的设备和专业技术能力的证明材料。</w:t>
            </w:r>
          </w:p>
          <w:p>
            <w:pPr>
              <w:spacing w:line="360" w:lineRule="auto"/>
              <w:ind w:firstLine="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（4）参加政府采购活动前3年内在经营活动中没有重大违法记录的书面声明；投标人自行对其有无行贿犯罪情形进行书面说明或书面承诺。</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（5）具备法律、行政法规规定的其他条件的证明材料。</w:t>
            </w:r>
          </w:p>
          <w:p>
            <w:pPr>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（6）投标人已提供加载有统一社会信用代码营业执照的，视为已提供税务登记证和组织机构代码证。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3.5如本项目接受联合体投标，则两个或者两个以上投标人可以组成一个投标联合体，以一个投标人的身份投标。</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以联合体形式参加投标的，联合体各方均应当符合合格的投标人相关规定。采购单位根据采购项目的特殊要求规定投标人特定条件的，联合体各方中至少应当有一方符合采购单位规定的特定条件，如联合体各方中没有一方符合特定条件的，该联合体投标无效。</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（3）项目如涉及资质要求，该部分内容应由联合体中具有该资质要求的投标人承担。联合体协议及签订的采购合同应包含此项内容。</w:t>
            </w:r>
          </w:p>
          <w:p>
            <w:pPr>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（4）联合体中有同类资质的投标人按照联合体分工承担相同工作的，应当按照资质等级较低的投标人确定资质等级。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3.7投标代理人在同一个项目中只能接受一个投标人的委托参加投标。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vAlign w:val="center"/>
          </w:tcPr>
          <w:p>
            <w:pPr>
              <w:tabs>
                <w:tab w:val="left" w:pos="630"/>
              </w:tabs>
              <w:spacing w:line="360" w:lineRule="auto"/>
              <w:ind w:firstLine="560"/>
              <w:rPr>
                <w:rFonts w:hint="eastAsia" w:ascii="宋体" w:hAnsi="宋体" w:cs="宋体"/>
                <w:color w:val="auto"/>
                <w:sz w:val="24"/>
                <w:szCs w:val="24"/>
                <w:highlight w:val="none"/>
              </w:rPr>
            </w:pPr>
            <w:r>
              <w:rPr>
                <w:rFonts w:hint="eastAsia" w:ascii="宋体" w:hAnsi="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vAlign w:val="center"/>
          </w:tcPr>
          <w:p>
            <w:pPr>
              <w:tabs>
                <w:tab w:val="left" w:pos="630"/>
              </w:tabs>
              <w:spacing w:line="360" w:lineRule="auto"/>
              <w:ind w:firstLine="0"/>
              <w:rPr>
                <w:rFonts w:hint="eastAsia" w:ascii="宋体" w:hAnsi="宋体" w:cs="宋体"/>
                <w:color w:val="auto"/>
                <w:sz w:val="24"/>
                <w:szCs w:val="24"/>
                <w:highlight w:val="none"/>
              </w:rPr>
            </w:pPr>
            <w:r>
              <w:rPr>
                <w:rFonts w:hint="eastAsia" w:ascii="宋体" w:hAnsi="宋体"/>
                <w:b/>
                <w:color w:val="auto"/>
                <w:sz w:val="24"/>
                <w:szCs w:val="24"/>
                <w:highlight w:val="none"/>
              </w:rPr>
              <w:t>*12.本项目专门面向中小企业采购，不再执行价格评审优惠的扶持政策，所报所有采购标的均为中小微企业制造。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tcPr>
          <w:p>
            <w:pPr>
              <w:spacing w:line="360" w:lineRule="auto"/>
              <w:ind w:firstLine="3373" w:firstLineChars="1400"/>
              <w:rPr>
                <w:rFonts w:hint="eastAsia" w:ascii="宋体" w:hAnsi="宋体" w:cs="宋体"/>
                <w:color w:val="auto"/>
                <w:sz w:val="24"/>
                <w:szCs w:val="24"/>
                <w:highlight w:val="none"/>
              </w:rPr>
            </w:pPr>
            <w:r>
              <w:rPr>
                <w:rFonts w:hint="eastAsia" w:ascii="宋体" w:hAnsi="宋体" w:cs="宋体"/>
                <w:b/>
                <w:color w:val="auto"/>
                <w:sz w:val="24"/>
                <w:szCs w:val="24"/>
                <w:highlight w:val="none"/>
              </w:rPr>
              <w:t>符合性要求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投标人的投标文件未按规定的投标截止时间之前提交的，其投标将被拒绝。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3.3一个投标人只能提交一个投标文件。如果投标人之间存在下列互为关联关系的情形之一的，不得同时参加本项目同一合同包投标：</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(1)法定代表人、单位负责人为同一人或夫妻关系的不同投标人；</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(2)存在直接控股、管理关系的不同投标人；</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(3)均为同一家母公司直接或间接持股50％及以上的被投资公司。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3.8投标人存在下列情形之一的，将被认定为串通投标行为并作无效投标处理：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（1）投标人之间协商投标报价等投标文件的实质性内容；</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（2）投标人之间约定中标供应商；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（3）投标人之间约定部分投标人放弃投标或者中标；</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（4）属于同一集团、协会、商会等组织成员的投标人按照该组织要求协同投标；</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（5）投标人之间为谋取中标或者排斥特定投标人而采取的其他联合行动；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（6）不同投标人的投标文件由同一单位或者个人编制；</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（7）不同投标人委托同一单位或者个人办理投标事宜；</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（8）不同投标人的投标文件载明的项目管理成员或者联系人员为同一人；</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（9）不同投标人的投标文件异常一致或者投标报价呈规律性差异；</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（10）不同投标人的投标文件相互混装；</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（11）不同投标人的投标保证金从同一单位或者个人的账户转出。</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（12）不同投标人的投标文件错、漏之处一致或雷同，且不能合理解释的；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（13）不同的投标人的法定代表人、委托代理人等由同一个单位缴纳社会保险的；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（15）有关法律、法规或规章规定的其他串通投标行为。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11.1投标文件从投标截止之日开始生效，在</w:t>
            </w:r>
            <w:r>
              <w:rPr>
                <w:rFonts w:hint="eastAsia" w:ascii="宋体" w:hAnsi="宋体" w:cs="宋体"/>
                <w:b/>
                <w:bCs/>
                <w:color w:val="auto"/>
                <w:sz w:val="24"/>
                <w:szCs w:val="24"/>
                <w:highlight w:val="none"/>
              </w:rPr>
              <w:t>投标人须知前附表1</w:t>
            </w:r>
            <w:r>
              <w:rPr>
                <w:rFonts w:hint="eastAsia" w:ascii="宋体" w:hAnsi="宋体" w:cs="宋体"/>
                <w:b/>
                <w:color w:val="auto"/>
                <w:sz w:val="24"/>
                <w:szCs w:val="24"/>
                <w:highlight w:val="none"/>
              </w:rPr>
              <w:t>第3项所规定的期限内保持有效。有效期不足将导致其投标文件被拒绝。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12.5未按要求缴交投标保证金的投标，将被视为无效投标。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13.7</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rPr>
                <w:rFonts w:hint="eastAsia" w:ascii="宋体" w:hAnsi="宋体" w:cs="宋体"/>
                <w:b/>
                <w:color w:val="auto"/>
                <w:sz w:val="24"/>
                <w:szCs w:val="24"/>
                <w:highlight w:val="none"/>
              </w:rPr>
            </w:pPr>
            <w:r>
              <w:rPr>
                <w:rFonts w:hint="eastAsia" w:ascii="宋体" w:hAnsi="宋体" w:cs="宋体"/>
                <w:b/>
                <w:color w:val="auto"/>
                <w:sz w:val="24"/>
                <w:szCs w:val="24"/>
                <w:highlight w:val="none"/>
              </w:rPr>
              <w:t>13.7未按本须知规定的格式填写投标文件、投标文件字迹模糊不清的，其投标将被拒绝。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13.9</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14.1</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rPr>
                <w:rFonts w:hint="eastAsia" w:ascii="宋体" w:hAnsi="宋体" w:cs="宋体"/>
                <w:b/>
                <w:color w:val="auto"/>
                <w:sz w:val="24"/>
                <w:szCs w:val="24"/>
                <w:highlight w:val="none"/>
              </w:rPr>
            </w:pPr>
            <w:r>
              <w:rPr>
                <w:rFonts w:hint="eastAsia" w:ascii="宋体" w:hAnsi="宋体" w:cs="宋体"/>
                <w:color w:val="auto"/>
                <w:sz w:val="24"/>
                <w:szCs w:val="24"/>
                <w:highlight w:val="none"/>
              </w:rPr>
              <w:t>14.1</w:t>
            </w:r>
            <w:r>
              <w:rPr>
                <w:rFonts w:hint="eastAsia" w:ascii="宋体" w:hAnsi="宋体" w:cs="宋体"/>
                <w:b/>
                <w:color w:val="auto"/>
                <w:sz w:val="24"/>
                <w:szCs w:val="24"/>
                <w:highlight w:val="none"/>
              </w:rPr>
              <w:t>投标文件未密封将导致其投标被拒绝。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14.5</w:t>
            </w:r>
          </w:p>
        </w:tc>
        <w:tc>
          <w:tcPr>
            <w:tcW w:w="59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14.5投标文件应在投标邀请中规定的截止时间前送达，迟到的投标文件为无效投标文件, 将被拒收。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14.7</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0"/>
              <w:rPr>
                <w:rFonts w:hint="eastAsia" w:ascii="宋体" w:hAnsi="宋体" w:cs="宋体"/>
                <w:b/>
                <w:color w:val="auto"/>
                <w:sz w:val="24"/>
                <w:szCs w:val="24"/>
                <w:highlight w:val="none"/>
              </w:rPr>
            </w:pPr>
            <w:r>
              <w:rPr>
                <w:rFonts w:hint="eastAsia" w:ascii="宋体" w:hAnsi="宋体" w:cs="宋体"/>
                <w:b/>
                <w:color w:val="auto"/>
                <w:sz w:val="24"/>
                <w:szCs w:val="24"/>
                <w:highlight w:val="none"/>
              </w:rPr>
              <w:t>14.7投标人在投标截止时间后不得修改、撤回投标文件。投标人在投标截止时间后修改投标文件的，其投标将被拒绝。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17.投标人任何试图影响评委会对投标文件的评估、比较或者推荐候选人的行为，都将导致其投标按照无效投标处理，并被没收投标保证金。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宋体" w:hAnsi="宋体" w:cs="宋体"/>
                <w:b/>
                <w:color w:val="auto"/>
                <w:sz w:val="24"/>
                <w:szCs w:val="24"/>
                <w:highlight w:val="none"/>
              </w:rPr>
            </w:pPr>
            <w:r>
              <w:rPr>
                <w:rFonts w:hint="eastAsia" w:ascii="宋体" w:hAnsi="宋体" w:cs="宋体"/>
                <w:color w:val="auto"/>
                <w:sz w:val="24"/>
                <w:szCs w:val="24"/>
                <w:highlight w:val="none"/>
              </w:rPr>
              <w:t>17.2</w:t>
            </w:r>
            <w:r>
              <w:rPr>
                <w:rFonts w:hint="eastAsia" w:ascii="宋体" w:hAnsi="宋体" w:cs="宋体"/>
                <w:b/>
                <w:color w:val="auto"/>
                <w:sz w:val="24"/>
                <w:szCs w:val="24"/>
                <w:highlight w:val="none"/>
              </w:rPr>
              <w:t>如果投标人不接受按上述方法对投标文件中的算术错误进行更正，其投标将按照无效投标处理并被没收投标保证金。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 未按规定提交投标保证金的；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(2)投标有效期不满足招标文件要求的；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(3)投标内容与招标内容及要求有重大偏离或保留的；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(4)投标人提交的是可选择的报价；</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(5)投标人未按招标文件要求对投标进行分项报价；</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(6)投标文件中提供虚假或失实资料的；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(7)不符合招标文件中规定的其它实质性条款。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评标委员会决定投标的响应性只根据投标文件本身的内容，而不寻求其他的外部证据。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tcPr>
          <w:p>
            <w:pPr>
              <w:spacing w:line="360" w:lineRule="auto"/>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17.3.3投标产品必须满足中华人民共和国相关法律法规及行业的强制性要求，否则该投标人的投标将按照无效投标处理。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19</w:t>
            </w:r>
          </w:p>
        </w:tc>
        <w:tc>
          <w:tcPr>
            <w:tcW w:w="696" w:type="dxa"/>
            <w:tcBorders>
              <w:top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17.3.4</w:t>
            </w:r>
          </w:p>
        </w:tc>
        <w:tc>
          <w:tcPr>
            <w:tcW w:w="5925" w:type="dxa"/>
            <w:tcBorders>
              <w:top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17.3.4采购单位（或使用单位）、招标代理机构有下列情形之一的，将被认定为采购单位（或使用单位）、招标代理机构与投标人有串通投标行为，该投标人投标作无效投标处理：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（1）在开标前开启投标文件并将有关信息泄露给其他投标人;</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（2）评审结果公告前，直接或者间接向投标人泄露评标委员会成员等信息；</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（3）明示或者暗示投标人压低或者抬高投标报价；</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（4）授意投标人撤换、修改投标文件（按18条进行的澄清除外）；</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（5）明示或者暗示投标人为特定投标人中标提供方便；</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（6）为谋求特定投标人中标而采取的其他串通行为。</w:t>
            </w:r>
          </w:p>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20</w:t>
            </w:r>
          </w:p>
        </w:tc>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kern w:val="0"/>
                <w:sz w:val="24"/>
                <w:szCs w:val="24"/>
                <w:highlight w:val="none"/>
              </w:rPr>
              <w:t>17.3.5</w:t>
            </w:r>
          </w:p>
        </w:tc>
        <w:tc>
          <w:tcPr>
            <w:tcW w:w="5925" w:type="dxa"/>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kern w:val="0"/>
                <w:sz w:val="24"/>
                <w:szCs w:val="24"/>
                <w:highlight w:val="none"/>
              </w:rPr>
              <w:t>17.3.5出现17.3.4情形之一的，作无效投标处理的</w:t>
            </w:r>
            <w:r>
              <w:rPr>
                <w:rFonts w:hint="eastAsia" w:ascii="宋体" w:hAnsi="宋体" w:cs="宋体"/>
                <w:b/>
                <w:color w:val="auto"/>
                <w:sz w:val="24"/>
                <w:szCs w:val="24"/>
                <w:highlight w:val="none"/>
              </w:rPr>
              <w:t>投标人的投标保证金将予以没收，招标代理机构有权上报财政部门取消其采购供应商资格、并按有关规定予以处罚。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21</w:t>
            </w:r>
          </w:p>
        </w:tc>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19.3</w:t>
            </w:r>
          </w:p>
        </w:tc>
        <w:tc>
          <w:tcPr>
            <w:tcW w:w="5925" w:type="dxa"/>
            <w:vAlign w:val="center"/>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22</w:t>
            </w:r>
          </w:p>
        </w:tc>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22</w:t>
            </w:r>
          </w:p>
        </w:tc>
        <w:tc>
          <w:tcPr>
            <w:tcW w:w="5925" w:type="dxa"/>
            <w:vAlign w:val="center"/>
          </w:tcPr>
          <w:p>
            <w:pPr>
              <w:spacing w:line="360" w:lineRule="auto"/>
              <w:ind w:firstLine="480" w:firstLineChars="200"/>
              <w:rPr>
                <w:rFonts w:hint="eastAsia" w:ascii="宋体" w:hAnsi="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23</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投标人如果为联合体投标，则必须同时满足下列要求，否则</w:t>
            </w:r>
            <w:r>
              <w:rPr>
                <w:rFonts w:hint="eastAsia" w:ascii="宋体" w:hAnsi="宋体" w:cs="宋体"/>
                <w:color w:val="auto"/>
                <w:sz w:val="24"/>
                <w:szCs w:val="24"/>
                <w:highlight w:val="none"/>
              </w:rPr>
              <w:t>该投标人的投标将按照无效投标处理</w:t>
            </w:r>
            <w:r>
              <w:rPr>
                <w:rFonts w:hint="eastAsia" w:ascii="宋体" w:hAnsi="宋体" w:cs="宋体"/>
                <w:bCs/>
                <w:color w:val="auto"/>
                <w:sz w:val="24"/>
                <w:szCs w:val="24"/>
                <w:highlight w:val="none"/>
              </w:rPr>
              <w:t>：</w:t>
            </w:r>
          </w:p>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①在开标一览表中注明是否联合体投标、联合体组成单位；</w:t>
            </w:r>
          </w:p>
          <w:p>
            <w:pPr>
              <w:spacing w:line="360" w:lineRule="auto"/>
              <w:jc w:val="left"/>
              <w:rPr>
                <w:rFonts w:hint="eastAsia" w:ascii="宋体" w:hAnsi="宋体" w:cs="宋体"/>
                <w:color w:val="auto"/>
                <w:sz w:val="24"/>
                <w:szCs w:val="24"/>
                <w:highlight w:val="none"/>
              </w:rPr>
            </w:pPr>
            <w:r>
              <w:rPr>
                <w:rFonts w:hint="eastAsia" w:ascii="宋体" w:hAnsi="宋体" w:cs="宋体"/>
                <w:bCs/>
                <w:color w:val="auto"/>
                <w:sz w:val="24"/>
                <w:szCs w:val="24"/>
                <w:highlight w:val="none"/>
              </w:rPr>
              <w:t>②在投标文件中提供各方盖章签署的共同投标协议原件。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pStyle w:val="2"/>
              <w:snapToGrid w:val="0"/>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24</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jc w:val="left"/>
              <w:rPr>
                <w:rFonts w:hint="eastAsia" w:ascii="宋体" w:hAnsi="宋体" w:cs="宋体"/>
                <w:color w:val="auto"/>
                <w:sz w:val="24"/>
                <w:szCs w:val="24"/>
                <w:highlight w:val="none"/>
              </w:rPr>
            </w:pPr>
            <w:r>
              <w:rPr>
                <w:rFonts w:hint="eastAsia" w:ascii="宋体" w:hAnsi="宋体" w:cs="宋体"/>
                <w:bCs/>
                <w:color w:val="auto"/>
                <w:sz w:val="24"/>
                <w:szCs w:val="24"/>
                <w:highlight w:val="none"/>
              </w:rPr>
              <w:t>投标文件中不得附有采购单位</w:t>
            </w:r>
            <w:r>
              <w:rPr>
                <w:rFonts w:hint="eastAsia" w:ascii="宋体" w:hAnsi="宋体" w:cs="宋体"/>
                <w:color w:val="auto"/>
                <w:sz w:val="24"/>
                <w:szCs w:val="24"/>
                <w:highlight w:val="none"/>
              </w:rPr>
              <w:t>（或使用单位）</w:t>
            </w:r>
            <w:r>
              <w:rPr>
                <w:rFonts w:hint="eastAsia" w:ascii="宋体" w:hAnsi="宋体" w:cs="宋体"/>
                <w:bCs/>
                <w:color w:val="auto"/>
                <w:sz w:val="24"/>
                <w:szCs w:val="24"/>
                <w:highlight w:val="none"/>
              </w:rPr>
              <w:t>不能接受的条款，</w:t>
            </w:r>
            <w:r>
              <w:rPr>
                <w:rFonts w:hint="eastAsia" w:ascii="宋体" w:hAnsi="宋体" w:cs="宋体"/>
                <w:color w:val="auto"/>
                <w:sz w:val="24"/>
                <w:szCs w:val="24"/>
                <w:highlight w:val="none"/>
              </w:rPr>
              <w:t>否则该投标人的投标将按照无效投标处理。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pStyle w:val="2"/>
              <w:snapToGrid w:val="0"/>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25</w:t>
            </w:r>
          </w:p>
        </w:tc>
        <w:tc>
          <w:tcPr>
            <w:tcW w:w="696" w:type="dxa"/>
            <w:vAlign w:val="center"/>
          </w:tcPr>
          <w:p>
            <w:pPr>
              <w:pStyle w:val="2"/>
              <w:snapToGrid w:val="0"/>
              <w:spacing w:line="360" w:lineRule="auto"/>
              <w:ind w:firstLine="0"/>
              <w:jc w:val="center"/>
              <w:rPr>
                <w:rFonts w:hint="eastAsia" w:ascii="宋体" w:hAnsi="宋体" w:cs="宋体"/>
                <w:color w:val="auto"/>
                <w:sz w:val="24"/>
                <w:szCs w:val="24"/>
                <w:highlight w:val="none"/>
              </w:rPr>
            </w:pPr>
          </w:p>
        </w:tc>
        <w:tc>
          <w:tcPr>
            <w:tcW w:w="1422" w:type="dxa"/>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5925" w:type="dxa"/>
            <w:vAlign w:val="center"/>
          </w:tcPr>
          <w:p>
            <w:pPr>
              <w:pStyle w:val="2"/>
              <w:snapToGrid w:val="0"/>
              <w:spacing w:line="360" w:lineRule="auto"/>
              <w:ind w:firstLine="0"/>
              <w:jc w:val="left"/>
              <w:rPr>
                <w:rFonts w:hint="eastAsia" w:ascii="宋体" w:hAnsi="宋体" w:cs="宋体"/>
                <w:b/>
                <w:color w:val="auto"/>
                <w:sz w:val="24"/>
                <w:szCs w:val="24"/>
                <w:highlight w:val="none"/>
              </w:rPr>
            </w:pPr>
            <w:r>
              <w:rPr>
                <w:rFonts w:hint="eastAsia" w:ascii="宋体" w:hAnsi="宋体" w:cs="宋体"/>
                <w:bCs/>
                <w:color w:val="auto"/>
                <w:sz w:val="24"/>
                <w:szCs w:val="24"/>
                <w:highlight w:val="none"/>
              </w:rPr>
              <w:t>本项目以合同包为单位，对于每个合同包，投标人必须完整地提供合同包要求的所有货物和服务，否则</w:t>
            </w:r>
            <w:r>
              <w:rPr>
                <w:rFonts w:hint="eastAsia" w:ascii="宋体" w:hAnsi="宋体" w:cs="宋体"/>
                <w:color w:val="auto"/>
                <w:sz w:val="24"/>
                <w:szCs w:val="24"/>
                <w:highlight w:val="none"/>
              </w:rPr>
              <w:t>该投标人针对该合同包的投标将按照无效投标处理</w:t>
            </w:r>
            <w:r>
              <w:rPr>
                <w:rFonts w:hint="eastAsia" w:ascii="宋体" w:hAnsi="宋体" w:cs="宋体"/>
                <w:bCs/>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pStyle w:val="2"/>
              <w:snapToGrid w:val="0"/>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26</w:t>
            </w:r>
          </w:p>
        </w:tc>
        <w:tc>
          <w:tcPr>
            <w:tcW w:w="696" w:type="dxa"/>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1422" w:type="dxa"/>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5925" w:type="dxa"/>
            <w:vAlign w:val="center"/>
          </w:tcPr>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投标人应对其在投标文件中声明的关于中小企业事项的真实性负责，存在以下情形之一的，经评标委员会查实，应认定存在虚假的：</w:t>
            </w:r>
          </w:p>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（1）投标人（包括联合体任一方）不符合“工信部联企业[2011]300号”规定的中小企业标准的；</w:t>
            </w:r>
          </w:p>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（2）投标货物全部或部分为使用大型企业注册商标的货物的；</w:t>
            </w:r>
          </w:p>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（3）投标文件中标明的小型或微型企业产品的制造商不符合“工信部联企业[2011]300号”规定的小型和微型企业标准的。</w:t>
            </w:r>
          </w:p>
          <w:p>
            <w:pPr>
              <w:pStyle w:val="2"/>
              <w:snapToGrid w:val="0"/>
              <w:spacing w:line="360" w:lineRule="auto"/>
              <w:ind w:firstLine="0"/>
              <w:jc w:val="left"/>
              <w:rPr>
                <w:rFonts w:hint="eastAsia" w:ascii="宋体" w:hAnsi="宋体" w:cs="宋体"/>
                <w:b/>
                <w:color w:val="auto"/>
                <w:sz w:val="24"/>
                <w:szCs w:val="24"/>
                <w:highlight w:val="none"/>
              </w:rPr>
            </w:pPr>
            <w:r>
              <w:rPr>
                <w:rFonts w:hint="eastAsia" w:ascii="宋体" w:hAnsi="宋体" w:cs="宋体"/>
                <w:bCs/>
                <w:color w:val="auto"/>
                <w:sz w:val="24"/>
                <w:szCs w:val="24"/>
                <w:highlight w:val="none"/>
              </w:rPr>
              <w:t>在评审过程中发现上述虚假情形的，该投标人的投标作无效投标处理。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pStyle w:val="2"/>
              <w:snapToGrid w:val="0"/>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27</w:t>
            </w:r>
          </w:p>
        </w:tc>
        <w:tc>
          <w:tcPr>
            <w:tcW w:w="696" w:type="dxa"/>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1422" w:type="dxa"/>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5925" w:type="dxa"/>
            <w:vAlign w:val="center"/>
          </w:tcPr>
          <w:p>
            <w:pPr>
              <w:pStyle w:val="2"/>
              <w:snapToGrid w:val="0"/>
              <w:spacing w:line="360" w:lineRule="auto"/>
              <w:ind w:firstLine="0"/>
              <w:jc w:val="left"/>
              <w:rPr>
                <w:rFonts w:hint="eastAsia" w:ascii="宋体" w:hAnsi="宋体" w:cs="宋体"/>
                <w:color w:val="auto"/>
                <w:sz w:val="24"/>
                <w:szCs w:val="24"/>
                <w:highlight w:val="none"/>
              </w:rPr>
            </w:pPr>
            <w:r>
              <w:rPr>
                <w:rFonts w:hint="eastAsia" w:ascii="宋体" w:hAnsi="宋体" w:cs="宋体"/>
                <w:bCs/>
                <w:color w:val="auto"/>
                <w:sz w:val="24"/>
                <w:szCs w:val="24"/>
                <w:highlight w:val="none"/>
              </w:rPr>
              <w:t>减半交纳投标保证金的投标人未按照招标文件格式要求在投标文件中提供《中小企业声明函》的，其投标作无效投标处理。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pStyle w:val="2"/>
              <w:snapToGrid w:val="0"/>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28</w:t>
            </w:r>
          </w:p>
        </w:tc>
        <w:tc>
          <w:tcPr>
            <w:tcW w:w="696" w:type="dxa"/>
            <w:tcBorders>
              <w:bottom w:val="single" w:color="auto" w:sz="4" w:space="0"/>
            </w:tcBorders>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1422" w:type="dxa"/>
            <w:tcBorders>
              <w:bottom w:val="single" w:color="auto" w:sz="4" w:space="0"/>
            </w:tcBorders>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5925" w:type="dxa"/>
            <w:tcBorders>
              <w:bottom w:val="single" w:color="auto" w:sz="4" w:space="0"/>
            </w:tcBorders>
            <w:vAlign w:val="center"/>
          </w:tcPr>
          <w:p>
            <w:pPr>
              <w:pStyle w:val="2"/>
              <w:snapToGrid w:val="0"/>
              <w:spacing w:line="360" w:lineRule="auto"/>
              <w:ind w:firstLine="0"/>
              <w:rPr>
                <w:rFonts w:hint="eastAsia" w:ascii="宋体" w:hAnsi="宋体" w:cs="宋体"/>
                <w:b/>
                <w:color w:val="auto"/>
                <w:sz w:val="24"/>
                <w:szCs w:val="24"/>
                <w:highlight w:val="none"/>
              </w:rPr>
            </w:pPr>
            <w:r>
              <w:rPr>
                <w:rFonts w:hint="eastAsia" w:ascii="宋体" w:hAnsi="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pStyle w:val="2"/>
              <w:snapToGrid w:val="0"/>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29</w:t>
            </w:r>
          </w:p>
        </w:tc>
        <w:tc>
          <w:tcPr>
            <w:tcW w:w="696" w:type="dxa"/>
            <w:tcBorders>
              <w:bottom w:val="single" w:color="auto" w:sz="4" w:space="0"/>
            </w:tcBorders>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1422" w:type="dxa"/>
            <w:tcBorders>
              <w:bottom w:val="single" w:color="auto" w:sz="4" w:space="0"/>
            </w:tcBorders>
            <w:vAlign w:val="center"/>
          </w:tcPr>
          <w:p>
            <w:pPr>
              <w:pStyle w:val="2"/>
              <w:snapToGrid w:val="0"/>
              <w:spacing w:line="360" w:lineRule="auto"/>
              <w:ind w:firstLine="0"/>
              <w:jc w:val="center"/>
              <w:rPr>
                <w:rFonts w:hint="eastAsia" w:ascii="宋体" w:hAnsi="宋体" w:cs="宋体"/>
                <w:b/>
                <w:color w:val="auto"/>
                <w:sz w:val="24"/>
                <w:szCs w:val="24"/>
                <w:highlight w:val="none"/>
              </w:rPr>
            </w:pPr>
          </w:p>
        </w:tc>
        <w:tc>
          <w:tcPr>
            <w:tcW w:w="5925" w:type="dxa"/>
            <w:tcBorders>
              <w:bottom w:val="single" w:color="auto" w:sz="4" w:space="0"/>
            </w:tcBorders>
            <w:vAlign w:val="center"/>
          </w:tcPr>
          <w:p>
            <w:pPr>
              <w:spacing w:line="360" w:lineRule="auto"/>
              <w:rPr>
                <w:rFonts w:hint="eastAsia" w:ascii="宋体" w:hAnsi="宋体" w:cs="宋体"/>
                <w:b/>
                <w:color w:val="auto"/>
                <w:sz w:val="24"/>
                <w:szCs w:val="24"/>
                <w:highlight w:val="none"/>
              </w:rPr>
            </w:pPr>
            <w:r>
              <w:rPr>
                <w:rFonts w:hint="eastAsia" w:ascii="宋体" w:hAnsi="宋体" w:cs="宋体"/>
                <w:bCs/>
                <w:color w:val="auto"/>
                <w:sz w:val="24"/>
                <w:szCs w:val="24"/>
                <w:highlight w:val="none"/>
              </w:rPr>
              <w:t>其他不满足招标文件要求经评标委员会认定须作无效投标处理的。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30</w:t>
            </w:r>
          </w:p>
        </w:tc>
        <w:tc>
          <w:tcPr>
            <w:tcW w:w="696"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422"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925" w:type="dxa"/>
            <w:tcBorders>
              <w:bottom w:val="single" w:color="auto" w:sz="4" w:space="0"/>
            </w:tcBorders>
            <w:vAlign w:val="center"/>
          </w:tcPr>
          <w:p>
            <w:pPr>
              <w:pStyle w:val="17"/>
              <w:spacing w:line="360" w:lineRule="auto"/>
              <w:rPr>
                <w:rFonts w:hint="eastAsia" w:hAnsi="宋体" w:cs="宋体"/>
                <w:color w:val="auto"/>
                <w:highlight w:val="none"/>
              </w:rPr>
            </w:pPr>
            <w:r>
              <w:rPr>
                <w:rFonts w:hint="eastAsia" w:hAnsi="宋体" w:cs="宋体"/>
                <w:color w:val="auto"/>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96"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422"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925" w:type="dxa"/>
            <w:tcBorders>
              <w:bottom w:val="single" w:color="auto" w:sz="4" w:space="0"/>
            </w:tcBorders>
            <w:vAlign w:val="center"/>
          </w:tcPr>
          <w:p>
            <w:pPr>
              <w:spacing w:line="360" w:lineRule="auto"/>
              <w:rPr>
                <w:rFonts w:hint="eastAsia" w:ascii="宋体" w:hAnsi="宋体" w:cs="宋体"/>
                <w:color w:val="auto"/>
                <w:sz w:val="24"/>
                <w:szCs w:val="24"/>
                <w:highlight w:val="none"/>
              </w:rPr>
            </w:pPr>
            <w:r>
              <w:rPr>
                <w:rFonts w:hint="eastAsia" w:ascii="宋体" w:hAnsi="宋体"/>
                <w:b/>
                <w:bCs/>
                <w:color w:val="auto"/>
                <w:sz w:val="24"/>
                <w:szCs w:val="24"/>
                <w:highlight w:val="none"/>
              </w:rPr>
              <w:t>*9.投标人在递交投标文件时应提供以下样品：附件一序号项标“▲”项为需要提供的样品，数量：每个“▲”项按要求提供1套。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96"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422"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925" w:type="dxa"/>
            <w:tcBorders>
              <w:bottom w:val="single" w:color="auto" w:sz="4" w:space="0"/>
            </w:tcBorders>
            <w:vAlign w:val="center"/>
          </w:tcPr>
          <w:p>
            <w:pPr>
              <w:widowControl/>
              <w:spacing w:line="360" w:lineRule="auto"/>
              <w:ind w:firstLine="470"/>
              <w:jc w:val="left"/>
              <w:rPr>
                <w:rFonts w:hint="eastAsia" w:ascii="宋体" w:hAnsi="宋体"/>
                <w:b/>
                <w:color w:val="auto"/>
                <w:sz w:val="24"/>
                <w:szCs w:val="24"/>
                <w:highlight w:val="none"/>
              </w:rPr>
            </w:pPr>
            <w:r>
              <w:rPr>
                <w:rFonts w:hint="eastAsia" w:ascii="宋体" w:hAnsi="宋体"/>
                <w:b/>
                <w:bCs/>
                <w:color w:val="auto"/>
                <w:sz w:val="24"/>
                <w:szCs w:val="24"/>
                <w:highlight w:val="none"/>
              </w:rPr>
              <w:t>*10.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w:t>
            </w:r>
            <w:r>
              <w:rPr>
                <w:rFonts w:hint="eastAsia" w:ascii="宋体" w:hAnsi="宋体"/>
                <w:b/>
                <w:color w:val="auto"/>
                <w:sz w:val="24"/>
                <w:szCs w:val="24"/>
                <w:highlight w:val="none"/>
              </w:rPr>
              <w:t>送至</w:t>
            </w:r>
            <w:r>
              <w:rPr>
                <w:rFonts w:hint="eastAsia" w:ascii="宋体" w:hAnsi="宋体"/>
                <w:b/>
                <w:color w:val="auto"/>
                <w:sz w:val="24"/>
                <w:highlight w:val="none"/>
                <w:u w:val="single"/>
              </w:rPr>
              <w:t>厦门市湖里区云顶北路842号厦门市政务服务中心负一楼样品室</w:t>
            </w:r>
            <w:r>
              <w:rPr>
                <w:rFonts w:hint="eastAsia" w:ascii="宋体" w:hAnsi="宋体"/>
                <w:b/>
                <w:color w:val="auto"/>
                <w:sz w:val="24"/>
                <w:szCs w:val="24"/>
                <w:highlight w:val="none"/>
              </w:rPr>
              <w:t>。</w:t>
            </w:r>
          </w:p>
          <w:p>
            <w:pPr>
              <w:spacing w:line="360" w:lineRule="auto"/>
              <w:rPr>
                <w:rFonts w:hint="eastAsia" w:ascii="宋体" w:hAnsi="宋体" w:cs="宋体"/>
                <w:color w:val="auto"/>
                <w:sz w:val="24"/>
                <w:szCs w:val="24"/>
                <w:highlight w:val="none"/>
              </w:rPr>
            </w:pPr>
            <w:r>
              <w:rPr>
                <w:rFonts w:hint="eastAsia" w:ascii="宋体" w:hAnsi="宋体"/>
                <w:b/>
                <w:color w:val="auto"/>
                <w:sz w:val="24"/>
                <w:szCs w:val="24"/>
                <w:highlight w:val="none"/>
              </w:rPr>
              <w:t>注：投标人提供的成品样需在投标截止时间前，在样品室摆放到位。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696"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422" w:type="dxa"/>
            <w:tcBorders>
              <w:bottom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925" w:type="dxa"/>
            <w:tcBorders>
              <w:bottom w:val="single" w:color="auto" w:sz="4" w:space="0"/>
            </w:tcBorders>
            <w:vAlign w:val="center"/>
          </w:tcPr>
          <w:p>
            <w:pPr>
              <w:spacing w:line="360" w:lineRule="auto"/>
              <w:rPr>
                <w:rFonts w:hint="eastAsia" w:ascii="宋体" w:hAnsi="宋体" w:cs="宋体"/>
                <w:color w:val="auto"/>
                <w:sz w:val="24"/>
                <w:szCs w:val="24"/>
                <w:highlight w:val="none"/>
              </w:rPr>
            </w:pPr>
            <w:r>
              <w:rPr>
                <w:rFonts w:hint="eastAsia" w:ascii="宋体" w:hAnsi="宋体"/>
                <w:b/>
                <w:color w:val="auto"/>
                <w:sz w:val="24"/>
                <w:szCs w:val="24"/>
                <w:highlight w:val="none"/>
              </w:rPr>
              <w:t>*5.投标人必须在投标文件中书面承诺</w:t>
            </w:r>
            <w:r>
              <w:rPr>
                <w:rFonts w:hint="default" w:ascii="宋体" w:hAnsi="宋体"/>
                <w:b/>
                <w:color w:val="auto"/>
                <w:sz w:val="24"/>
                <w:szCs w:val="24"/>
                <w:highlight w:val="none"/>
              </w:rPr>
              <w:t>函（格式自拟）</w:t>
            </w:r>
            <w:r>
              <w:rPr>
                <w:rFonts w:hint="eastAsia" w:ascii="宋体" w:hAnsi="宋体"/>
                <w:b/>
                <w:color w:val="auto"/>
                <w:sz w:val="24"/>
                <w:szCs w:val="24"/>
                <w:highlight w:val="none"/>
              </w:rPr>
              <w:t>：中标后生产前，向使用单位确定所供货物的相关事项，款式经使用单位最终书面确认以及是否增减后方可投入生产。否则，由此产生的一切后果由投标人负责。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cs="宋体"/>
                <w:color w:val="auto"/>
                <w:sz w:val="24"/>
                <w:szCs w:val="24"/>
                <w:highlight w:val="none"/>
              </w:rPr>
            </w:pPr>
            <w:r>
              <w:rPr>
                <w:rFonts w:hint="eastAsia" w:ascii="宋体" w:hAnsi="宋体"/>
                <w:b/>
                <w:color w:val="auto"/>
                <w:sz w:val="24"/>
                <w:szCs w:val="24"/>
                <w:highlight w:val="none"/>
              </w:rPr>
              <w:t>*8.投标人必须在投标文件中书面承诺</w:t>
            </w:r>
            <w:r>
              <w:rPr>
                <w:rFonts w:hint="default" w:ascii="宋体" w:hAnsi="宋体"/>
                <w:b/>
                <w:color w:val="auto"/>
                <w:sz w:val="24"/>
                <w:szCs w:val="24"/>
                <w:highlight w:val="none"/>
              </w:rPr>
              <w:t>函（格式自拟）</w:t>
            </w:r>
            <w:r>
              <w:rPr>
                <w:rFonts w:hint="eastAsia" w:ascii="宋体" w:hAnsi="宋体"/>
                <w:b/>
                <w:color w:val="auto"/>
                <w:sz w:val="24"/>
                <w:szCs w:val="24"/>
                <w:highlight w:val="none"/>
              </w:rPr>
              <w:t>：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验收过程中产生的所有检测费用由中标供应商全部承担，使用单位不再有任何增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cs="宋体"/>
                <w:color w:val="auto"/>
                <w:sz w:val="24"/>
                <w:szCs w:val="24"/>
                <w:highlight w:val="none"/>
              </w:rPr>
            </w:pPr>
            <w:r>
              <w:rPr>
                <w:rFonts w:hint="eastAsia" w:ascii="宋体" w:hAnsi="宋体"/>
                <w:b/>
                <w:color w:val="auto"/>
                <w:sz w:val="24"/>
                <w:szCs w:val="24"/>
                <w:highlight w:val="none"/>
              </w:rPr>
              <w:t>*10.投标人必须在投标文件中书面承诺</w:t>
            </w:r>
            <w:r>
              <w:rPr>
                <w:rFonts w:hint="default" w:ascii="宋体" w:hAnsi="宋体"/>
                <w:b/>
                <w:color w:val="auto"/>
                <w:sz w:val="24"/>
                <w:szCs w:val="24"/>
                <w:highlight w:val="none"/>
              </w:rPr>
              <w:t>函（格式自拟）</w:t>
            </w:r>
            <w:r>
              <w:rPr>
                <w:rFonts w:hint="eastAsia" w:ascii="宋体" w:hAnsi="宋体"/>
                <w:b/>
                <w:color w:val="auto"/>
                <w:sz w:val="24"/>
                <w:szCs w:val="24"/>
                <w:highlight w:val="none"/>
              </w:rPr>
              <w:t>：一旦中标，在保证按招标文件中要求提供的产品数量进行供货外，还应保证能够免费提供足够的样品供使用单位邀请相关部门对其在封闭式的环境中进行检测；如经检测家具环保等指标达不到国家以及招标文件中的要求，投标人应按成交价的2倍金额赔偿给使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一名专人与使用单位建立服务联系。⑤安装过程中，接受物业管理，造成二次污染及破坏，由中标供应商承担所有费用，直至修复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37</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1.投标人须以人民币报价且报价总价应含货物费、运至使用单位指定地点的运输费、保险费和伴随服务费（包括产品检验检测）、安装调试（包括安装所需的辅材、配件等）费用、税收及售后服务等一切与完成本项目相关的费用，报价方式为指定目的地价。一旦中标，</w:t>
            </w:r>
            <w:r>
              <w:rPr>
                <w:rFonts w:ascii="宋体" w:hAnsi="宋体"/>
                <w:b/>
                <w:color w:val="auto"/>
                <w:sz w:val="24"/>
                <w:szCs w:val="24"/>
                <w:highlight w:val="none"/>
              </w:rPr>
              <w:t>合同价款将不予调整</w:t>
            </w:r>
            <w:r>
              <w:rPr>
                <w:rFonts w:hint="eastAsia" w:ascii="宋体" w:hAnsi="宋体"/>
                <w:b/>
                <w:color w:val="auto"/>
                <w:sz w:val="24"/>
                <w:szCs w:val="24"/>
                <w:highlight w:val="none"/>
              </w:rPr>
              <w:t>（除非有核减）</w:t>
            </w:r>
            <w:r>
              <w:rPr>
                <w:rFonts w:ascii="宋体" w:hAnsi="宋体"/>
                <w:b/>
                <w:color w:val="auto"/>
                <w:sz w:val="24"/>
                <w:szCs w:val="24"/>
                <w:highlight w:val="none"/>
              </w:rPr>
              <w:t>。</w:t>
            </w:r>
            <w:r>
              <w:rPr>
                <w:rFonts w:hint="eastAsia" w:ascii="宋体" w:hAnsi="宋体"/>
                <w:b/>
                <w:color w:val="auto"/>
                <w:sz w:val="24"/>
                <w:szCs w:val="24"/>
                <w:highlight w:val="none"/>
              </w:rPr>
              <w:t>使用单位不接受有选择的报价。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*1.本项目采购预算为人民币</w:t>
            </w:r>
            <w:r>
              <w:rPr>
                <w:rFonts w:hint="eastAsia" w:ascii="宋体" w:hAnsi="宋体" w:cs="宋体"/>
                <w:b/>
                <w:color w:val="auto"/>
                <w:sz w:val="24"/>
                <w:szCs w:val="24"/>
                <w:highlight w:val="none"/>
                <w:u w:val="single"/>
              </w:rPr>
              <w:t>390</w:t>
            </w:r>
            <w:r>
              <w:rPr>
                <w:rFonts w:hint="eastAsia" w:ascii="宋体" w:hAnsi="宋体"/>
                <w:b/>
                <w:color w:val="auto"/>
                <w:sz w:val="24"/>
                <w:szCs w:val="24"/>
                <w:highlight w:val="none"/>
              </w:rPr>
              <w:t>万元，采购预算为最高限价，投标人的投标总报价都不得超过最高限价，否则将做无效投标处理。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696" w:type="dxa"/>
            <w:vAlign w:val="center"/>
          </w:tcPr>
          <w:p>
            <w:pPr>
              <w:spacing w:line="360" w:lineRule="auto"/>
              <w:jc w:val="center"/>
              <w:rPr>
                <w:rFonts w:hint="eastAsia" w:ascii="宋体" w:hAnsi="宋体" w:cs="宋体"/>
                <w:color w:val="auto"/>
                <w:sz w:val="24"/>
                <w:szCs w:val="24"/>
                <w:highlight w:val="none"/>
              </w:rPr>
            </w:pPr>
          </w:p>
        </w:tc>
        <w:tc>
          <w:tcPr>
            <w:tcW w:w="1422" w:type="dxa"/>
            <w:vAlign w:val="center"/>
          </w:tcPr>
          <w:p>
            <w:pPr>
              <w:spacing w:line="360" w:lineRule="auto"/>
              <w:jc w:val="center"/>
              <w:rPr>
                <w:rFonts w:hint="eastAsia" w:ascii="宋体" w:hAnsi="宋体" w:cs="宋体"/>
                <w:color w:val="auto"/>
                <w:sz w:val="24"/>
                <w:szCs w:val="24"/>
                <w:highlight w:val="none"/>
              </w:rPr>
            </w:pPr>
          </w:p>
        </w:tc>
        <w:tc>
          <w:tcPr>
            <w:tcW w:w="5925" w:type="dxa"/>
            <w:vAlign w:val="center"/>
          </w:tcPr>
          <w:p>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*8.交付使用期：合同签订之日起45个日历日内（含交货、安装并验收合格交付使用）。</w:t>
            </w:r>
          </w:p>
        </w:tc>
      </w:tr>
    </w:tbl>
    <w:p>
      <w:pPr>
        <w:spacing w:line="360" w:lineRule="auto"/>
        <w:rPr>
          <w:rFonts w:hint="eastAsia" w:ascii="宋体" w:hAnsi="宋体" w:cs="宋体"/>
          <w:bCs/>
          <w:color w:val="auto"/>
          <w:sz w:val="24"/>
          <w:szCs w:val="24"/>
          <w:highlight w:val="none"/>
        </w:rPr>
      </w:pPr>
      <w:bookmarkStart w:id="2" w:name="_GoBack"/>
      <w:bookmarkEnd w:id="2"/>
      <w:r>
        <w:rPr>
          <w:rFonts w:hint="eastAsia" w:ascii="宋体" w:hAnsi="宋体" w:cs="宋体"/>
          <w:bCs/>
          <w:color w:val="auto"/>
          <w:sz w:val="24"/>
          <w:szCs w:val="24"/>
          <w:highlight w:val="none"/>
        </w:rPr>
        <w:t>备注：由于编排顺序混乱而导致投标文件被误读或漏读，该投标人的投标可能被视为无效投标或承担不利的评标结果。</w:t>
      </w: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color w:val="auto"/>
          <w:sz w:val="32"/>
          <w:szCs w:val="32"/>
          <w:highlight w:val="none"/>
        </w:rPr>
      </w:pPr>
    </w:p>
    <w:p>
      <w:pPr>
        <w:spacing w:line="360" w:lineRule="auto"/>
        <w:jc w:val="center"/>
        <w:rPr>
          <w:rFonts w:hint="eastAsia" w:ascii="宋体" w:hAnsi="宋体" w:cs="宋体"/>
          <w:b/>
          <w:color w:val="auto"/>
          <w:sz w:val="32"/>
          <w:szCs w:val="32"/>
          <w:highlight w:val="none"/>
          <w:u w:val="single"/>
        </w:rPr>
      </w:pPr>
      <w:r>
        <w:rPr>
          <w:rFonts w:hint="eastAsia" w:ascii="宋体" w:hAnsi="宋体" w:cs="宋体"/>
          <w:color w:val="auto"/>
          <w:sz w:val="32"/>
          <w:szCs w:val="32"/>
          <w:highlight w:val="none"/>
        </w:rPr>
        <w:t>投标人须知前附表3：评标方法、评标标准、定标原则</w:t>
      </w:r>
    </w:p>
    <w:tbl>
      <w:tblPr>
        <w:tblStyle w:val="1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tcPr>
          <w:p>
            <w:pPr>
              <w:pStyle w:val="2"/>
              <w:numPr>
                <w:ilvl w:val="0"/>
                <w:numId w:val="1"/>
              </w:numPr>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评标方法：</w:t>
            </w:r>
          </w:p>
          <w:p>
            <w:pPr>
              <w:pStyle w:val="2"/>
              <w:snapToGrid w:val="0"/>
              <w:spacing w:line="360" w:lineRule="auto"/>
              <w:ind w:left="480" w:firstLine="0"/>
              <w:rPr>
                <w:rFonts w:hint="eastAsia"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 xml:space="preserve">综合评分法  □ 最低评标价法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tcPr>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二、评标标准：</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（一）具体的评标标准、权重。</w:t>
            </w:r>
          </w:p>
          <w:p>
            <w:pPr>
              <w:pStyle w:val="2"/>
              <w:snapToGrid w:val="0"/>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详见附件</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（二）推荐中标候选供应商名单。</w:t>
            </w:r>
          </w:p>
          <w:p>
            <w:pPr>
              <w:pStyle w:val="2"/>
              <w:snapToGrid w:val="0"/>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1、中标候选供应商数量：</w:t>
            </w:r>
            <w:r>
              <w:rPr>
                <w:rFonts w:hint="eastAsia" w:ascii="宋体" w:hAnsi="宋体" w:cs="宋体"/>
                <w:color w:val="auto"/>
                <w:sz w:val="24"/>
                <w:szCs w:val="24"/>
                <w:highlight w:val="none"/>
                <w:u w:val="single"/>
              </w:rPr>
              <w:t xml:space="preserve"> 3 </w:t>
            </w:r>
            <w:r>
              <w:rPr>
                <w:rFonts w:hint="eastAsia" w:ascii="宋体" w:hAnsi="宋体" w:cs="宋体"/>
                <w:color w:val="auto"/>
                <w:sz w:val="24"/>
                <w:szCs w:val="24"/>
                <w:highlight w:val="none"/>
              </w:rPr>
              <w:t>个。</w:t>
            </w:r>
          </w:p>
          <w:p>
            <w:pPr>
              <w:pStyle w:val="2"/>
              <w:snapToGrid w:val="0"/>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□采用最低评标价法的，按投标报价由低到高顺序排列。投标报价相同的，按技术指标优劣顺序排列。</w:t>
            </w:r>
          </w:p>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pPr>
              <w:pStyle w:val="2"/>
              <w:snapToGrid w:val="0"/>
              <w:spacing w:line="360" w:lineRule="auto"/>
              <w:ind w:firstLineChars="175"/>
              <w:rPr>
                <w:rFonts w:hint="eastAsia" w:ascii="宋体" w:hAnsi="宋体" w:cs="宋体"/>
                <w:color w:val="auto"/>
                <w:sz w:val="24"/>
                <w:szCs w:val="24"/>
                <w:highlight w:val="none"/>
              </w:rPr>
            </w:pPr>
            <w:r>
              <w:rPr>
                <w:rFonts w:hint="eastAsia" w:ascii="宋体" w:hAnsi="宋体" w:cs="宋体"/>
                <w:color w:val="auto"/>
                <w:sz w:val="24"/>
                <w:szCs w:val="24"/>
                <w:highlight w:val="none"/>
              </w:rPr>
              <w:t>3、综合评分法特别无效投标认定</w:t>
            </w:r>
          </w:p>
          <w:p>
            <w:pPr>
              <w:pStyle w:val="2"/>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pPr>
              <w:pStyle w:val="6"/>
              <w:spacing w:after="0" w:line="360" w:lineRule="auto"/>
              <w:ind w:left="0"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4、关于同一品牌产品投标的相关规定</w:t>
            </w:r>
          </w:p>
          <w:p>
            <w:pPr>
              <w:pStyle w:val="6"/>
              <w:spacing w:after="0" w:line="360" w:lineRule="auto"/>
              <w:ind w:left="0"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如果有多家投标人以同一品牌的产品参加投标，只能视为一家。</w:t>
            </w:r>
          </w:p>
          <w:p>
            <w:pPr>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rPr>
              <w:t>采用</w:t>
            </w:r>
            <w:r>
              <w:rPr>
                <w:color w:val="auto"/>
                <w:highlight w:val="none"/>
              </w:rPr>
              <w:fldChar w:fldCharType="begin"/>
            </w:r>
            <w:r>
              <w:rPr>
                <w:color w:val="auto"/>
                <w:highlight w:val="none"/>
              </w:rPr>
              <w:instrText xml:space="preserve"> HYPERLINK "http://lilun.caigou2003.com/recijiedu/2365668.html" \t "_blank" </w:instrText>
            </w:r>
            <w:r>
              <w:rPr>
                <w:color w:val="auto"/>
                <w:highlight w:val="none"/>
              </w:rPr>
              <w:fldChar w:fldCharType="separate"/>
            </w:r>
            <w:r>
              <w:rPr>
                <w:rFonts w:hint="eastAsia" w:ascii="宋体" w:hAnsi="宋体" w:cs="宋体"/>
                <w:color w:val="auto"/>
                <w:sz w:val="24"/>
                <w:szCs w:val="24"/>
                <w:highlight w:val="none"/>
              </w:rPr>
              <w:t>最低评标价法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的采购项目，提供相同品牌产品的不同投标人参加同一合同项下投标的，以其中通过资格审查、符合性审查且报价最低的参加评标；报价相同的，由采购单位委托</w:t>
            </w:r>
            <w:r>
              <w:rPr>
                <w:color w:val="auto"/>
                <w:highlight w:val="none"/>
              </w:rPr>
              <w:fldChar w:fldCharType="begin"/>
            </w:r>
            <w:r>
              <w:rPr>
                <w:color w:val="auto"/>
                <w:highlight w:val="none"/>
              </w:rPr>
              <w:instrText xml:space="preserve"> HYPERLINK "http://lilun.caigou2003.com/recijiedu/2539165.html" \t "_blank" </w:instrText>
            </w:r>
            <w:r>
              <w:rPr>
                <w:color w:val="auto"/>
                <w:highlight w:val="none"/>
              </w:rPr>
              <w:fldChar w:fldCharType="separate"/>
            </w:r>
            <w:r>
              <w:rPr>
                <w:rFonts w:hint="eastAsia" w:ascii="宋体" w:hAnsi="宋体" w:cs="宋体"/>
                <w:color w:val="auto"/>
                <w:sz w:val="24"/>
                <w:szCs w:val="24"/>
                <w:highlight w:val="none"/>
              </w:rPr>
              <w:t>评标委员会</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按照招标文件规定的方式确定一个参加评标的投标人，招标文件未规定的采取随机抽取方式确定，其他投标无效。</w:t>
            </w:r>
          </w:p>
          <w:p>
            <w:pPr>
              <w:spacing w:line="360" w:lineRule="auto"/>
              <w:ind w:firstLine="324"/>
              <w:rPr>
                <w:rFonts w:hint="eastAsia" w:ascii="宋体" w:hAnsi="宋体" w:cs="宋体"/>
                <w:color w:val="auto"/>
                <w:sz w:val="24"/>
                <w:szCs w:val="24"/>
                <w:highlight w:val="none"/>
              </w:rPr>
            </w:pPr>
            <w:r>
              <w:rPr>
                <w:rFonts w:hint="eastAsia" w:ascii="宋体" w:hAnsi="宋体" w:cs="宋体"/>
                <w:color w:val="auto"/>
                <w:sz w:val="24"/>
                <w:szCs w:val="24"/>
                <w:highlight w:val="none"/>
              </w:rPr>
              <w:t>使用</w:t>
            </w:r>
            <w:r>
              <w:rPr>
                <w:color w:val="auto"/>
                <w:highlight w:val="none"/>
              </w:rPr>
              <w:fldChar w:fldCharType="begin"/>
            </w:r>
            <w:r>
              <w:rPr>
                <w:color w:val="auto"/>
                <w:highlight w:val="none"/>
              </w:rPr>
              <w:instrText xml:space="preserve"> HYPERLINK "http://lilun.caigou2003.com/recijiedu/2365667.html" \t "_blank" </w:instrText>
            </w:r>
            <w:r>
              <w:rPr>
                <w:color w:val="auto"/>
                <w:highlight w:val="none"/>
              </w:rPr>
              <w:fldChar w:fldCharType="separate"/>
            </w:r>
            <w:r>
              <w:rPr>
                <w:rFonts w:hint="eastAsia" w:ascii="宋体" w:hAnsi="宋体" w:cs="宋体"/>
                <w:color w:val="auto"/>
                <w:sz w:val="24"/>
                <w:szCs w:val="24"/>
                <w:highlight w:val="none"/>
              </w:rPr>
              <w:t>综合评分法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采购单位委托评标委员会按照招标文件规定的方式确定一个投标人获得中标供应商推荐资格，招标文件未规定的采取随机抽取方式确定，其他同品牌投标人不作为中标候选人。</w:t>
            </w:r>
          </w:p>
          <w:p>
            <w:pPr>
              <w:pStyle w:val="2"/>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非单一产品采购项目，采购单位应当根据采购项目技术构成、产品价格比重等合理确定核心产品，并在招标文件中载明。多家投标人提供的核心产品品牌相同的，按前两款规定处理。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tcPr>
          <w:p>
            <w:pPr>
              <w:pStyle w:val="2"/>
              <w:snapToGrid w:val="0"/>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三、定标原则（确定中标供应商数量：</w:t>
            </w:r>
            <w:r>
              <w:rPr>
                <w:rFonts w:hint="eastAsia" w:ascii="宋体" w:hAnsi="宋体" w:cs="宋体"/>
                <w:color w:val="auto"/>
                <w:sz w:val="24"/>
                <w:szCs w:val="24"/>
                <w:highlight w:val="none"/>
                <w:u w:val="single"/>
              </w:rPr>
              <w:t xml:space="preserve"> 1 </w:t>
            </w:r>
            <w:r>
              <w:rPr>
                <w:rFonts w:hint="eastAsia" w:ascii="宋体" w:hAnsi="宋体" w:cs="宋体"/>
                <w:color w:val="auto"/>
                <w:sz w:val="24"/>
                <w:szCs w:val="24"/>
                <w:highlight w:val="none"/>
              </w:rPr>
              <w:t>个）：</w:t>
            </w:r>
          </w:p>
          <w:p>
            <w:pPr>
              <w:pStyle w:val="2"/>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□采购单位委托招标代理机构招标，在收到评标报告后五个工作日内，按照评标报告中推荐的中标候选供应商顺序确定中标供应商。</w:t>
            </w:r>
          </w:p>
          <w:p>
            <w:pPr>
              <w:pStyle w:val="2"/>
              <w:snapToGrid w:val="0"/>
              <w:spacing w:line="360" w:lineRule="auto"/>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采购单位委托招标代理机构招标，授权评标委员会直接确定中标供应商。</w:t>
            </w:r>
          </w:p>
          <w:p>
            <w:pPr>
              <w:pStyle w:val="2"/>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采购单位自行组织招标，在评标结束后五个工作日内确定中标供应商。</w:t>
            </w:r>
          </w:p>
        </w:tc>
      </w:tr>
    </w:tbl>
    <w:p>
      <w:pPr>
        <w:pStyle w:val="2"/>
        <w:snapToGrid w:val="0"/>
        <w:spacing w:line="360" w:lineRule="auto"/>
        <w:ind w:firstLine="0"/>
        <w:rPr>
          <w:rFonts w:hint="eastAsia" w:ascii="宋体" w:hAnsi="宋体" w:cs="宋体"/>
          <w:b/>
          <w:color w:val="auto"/>
          <w:sz w:val="24"/>
          <w:szCs w:val="24"/>
          <w:highlight w:val="none"/>
          <w:u w:val="single"/>
        </w:rPr>
      </w:pPr>
    </w:p>
    <w:p>
      <w:pPr>
        <w:tabs>
          <w:tab w:val="left" w:pos="-1080"/>
          <w:tab w:val="left" w:pos="180"/>
          <w:tab w:val="left" w:pos="1080"/>
        </w:tabs>
        <w:spacing w:line="360" w:lineRule="auto"/>
        <w:rPr>
          <w:rFonts w:hint="eastAsia" w:ascii="宋体" w:hAnsi="宋体" w:cs="宋体"/>
          <w:b/>
          <w:color w:val="auto"/>
          <w:sz w:val="24"/>
          <w:szCs w:val="24"/>
          <w:highlight w:val="none"/>
        </w:rPr>
      </w:pPr>
    </w:p>
    <w:p>
      <w:pPr>
        <w:tabs>
          <w:tab w:val="left" w:pos="-1080"/>
          <w:tab w:val="left" w:pos="180"/>
          <w:tab w:val="left" w:pos="1080"/>
        </w:tabs>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附件：评标标准、权重</w:t>
      </w:r>
    </w:p>
    <w:p>
      <w:pPr>
        <w:tabs>
          <w:tab w:val="left" w:pos="-1080"/>
          <w:tab w:val="left" w:pos="180"/>
          <w:tab w:val="left" w:pos="10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（一）技术评分(F1)：按55分评分法，技术评分考虑下列因素：</w:t>
      </w:r>
    </w:p>
    <w:tbl>
      <w:tblPr>
        <w:tblStyle w:val="12"/>
        <w:tblW w:w="0" w:type="auto"/>
        <w:jc w:val="center"/>
        <w:tblLayout w:type="autofit"/>
        <w:tblCellMar>
          <w:top w:w="0" w:type="dxa"/>
          <w:left w:w="108" w:type="dxa"/>
          <w:bottom w:w="0" w:type="dxa"/>
          <w:right w:w="108" w:type="dxa"/>
        </w:tblCellMar>
      </w:tblPr>
      <w:tblGrid>
        <w:gridCol w:w="640"/>
        <w:gridCol w:w="7152"/>
        <w:gridCol w:w="827"/>
      </w:tblGrid>
      <w:tr>
        <w:tblPrEx>
          <w:tblCellMar>
            <w:top w:w="0" w:type="dxa"/>
            <w:left w:w="108" w:type="dxa"/>
            <w:bottom w:w="0" w:type="dxa"/>
            <w:right w:w="108" w:type="dxa"/>
          </w:tblCellMar>
        </w:tblPrEx>
        <w:trPr>
          <w:trHeight w:val="48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序号</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评分因素及评分细则</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满分</w:t>
            </w:r>
          </w:p>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分值</w:t>
            </w:r>
          </w:p>
        </w:tc>
      </w:tr>
      <w:tr>
        <w:tblPrEx>
          <w:tblCellMar>
            <w:top w:w="0" w:type="dxa"/>
            <w:left w:w="108" w:type="dxa"/>
            <w:bottom w:w="0" w:type="dxa"/>
            <w:right w:w="108" w:type="dxa"/>
          </w:tblCellMar>
        </w:tblPrEx>
        <w:trPr>
          <w:trHeight w:val="554" w:hRule="atLeast"/>
          <w:jc w:val="center"/>
        </w:trPr>
        <w:tc>
          <w:tcPr>
            <w:tcW w:w="8619"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b/>
                <w:bCs/>
                <w:color w:val="auto"/>
                <w:kern w:val="0"/>
                <w:sz w:val="24"/>
                <w:szCs w:val="24"/>
                <w:highlight w:val="none"/>
                <w:lang w:bidi="ar"/>
              </w:rPr>
            </w:pPr>
            <w:r>
              <w:rPr>
                <w:rFonts w:hint="eastAsia" w:asciiTheme="minorEastAsia" w:hAnsiTheme="minorEastAsia" w:eastAsiaTheme="minorEastAsia" w:cstheme="minorEastAsia"/>
                <w:b/>
                <w:bCs/>
                <w:color w:val="auto"/>
                <w:kern w:val="0"/>
                <w:sz w:val="24"/>
                <w:szCs w:val="24"/>
                <w:highlight w:val="none"/>
                <w:lang w:bidi="ar"/>
              </w:rPr>
              <w:t>技术因素（总分55分）</w:t>
            </w:r>
          </w:p>
        </w:tc>
      </w:tr>
      <w:tr>
        <w:tblPrEx>
          <w:tblCellMar>
            <w:top w:w="0" w:type="dxa"/>
            <w:left w:w="108" w:type="dxa"/>
            <w:bottom w:w="0" w:type="dxa"/>
            <w:right w:w="108" w:type="dxa"/>
          </w:tblCellMar>
        </w:tblPrEx>
        <w:trPr>
          <w:trHeight w:val="1157"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bidi="ar"/>
              </w:rPr>
              <w:t>根据投标人针对本项目的拟投入的人员配备情况进行评价：人员配备完整，能够切实保障项目实施，岗位划分明确，职责清晰的得2分；主要人员配备完整，虽岗位划分不明确或职责界定不清晰，但不会对项目实施造成影响的得1分；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kern w:val="0"/>
                <w:sz w:val="24"/>
                <w:szCs w:val="24"/>
                <w:highlight w:val="none"/>
                <w:lang w:bidi="ar"/>
              </w:rPr>
            </w:pPr>
            <w:r>
              <w:rPr>
                <w:rFonts w:hint="eastAsia" w:asciiTheme="minorEastAsia" w:hAnsiTheme="minorEastAsia" w:eastAsiaTheme="minorEastAsia" w:cstheme="minorEastAsia"/>
                <w:color w:val="auto"/>
                <w:kern w:val="0"/>
                <w:sz w:val="24"/>
                <w:szCs w:val="24"/>
                <w:highlight w:val="none"/>
                <w:lang w:bidi="ar"/>
              </w:rPr>
              <w:t>2</w:t>
            </w:r>
          </w:p>
        </w:tc>
      </w:tr>
      <w:tr>
        <w:tblPrEx>
          <w:tblCellMar>
            <w:top w:w="0" w:type="dxa"/>
            <w:left w:w="108" w:type="dxa"/>
            <w:bottom w:w="0" w:type="dxa"/>
            <w:right w:w="108" w:type="dxa"/>
          </w:tblCellMar>
        </w:tblPrEx>
        <w:trPr>
          <w:trHeight w:val="75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根据投标人的质量控制方案进行评价：</w:t>
            </w:r>
          </w:p>
          <w:p>
            <w:pPr>
              <w:spacing w:line="300" w:lineRule="exact"/>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①方案内容基本完整可行，无明显缺漏项的得1分；</w:t>
            </w:r>
          </w:p>
          <w:p>
            <w:pPr>
              <w:spacing w:line="300" w:lineRule="exact"/>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②在①的基础上，逻辑清晰、方法得当，能够详细描述生产过程及运输包装中质量控制措施的得2分；</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 xml:space="preserve">③未提供或不满足以上情况的不得分。 </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2</w:t>
            </w:r>
          </w:p>
        </w:tc>
      </w:tr>
      <w:tr>
        <w:tblPrEx>
          <w:tblCellMar>
            <w:top w:w="0" w:type="dxa"/>
            <w:left w:w="108" w:type="dxa"/>
            <w:bottom w:w="0" w:type="dxa"/>
            <w:right w:w="108" w:type="dxa"/>
          </w:tblCellMar>
        </w:tblPrEx>
        <w:trPr>
          <w:trHeight w:val="54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根据投标人的供货组织方案进行评价：</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①方案内容基本完整，无明显缺漏项的得1分；</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②在①的基础上，有明确的人员配备、运输流程、时间进度、安装调试方法的得2分；</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③未提供或不满足以上情况的不得分。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r>
      <w:tr>
        <w:tblPrEx>
          <w:tblCellMar>
            <w:top w:w="0" w:type="dxa"/>
            <w:left w:w="108" w:type="dxa"/>
            <w:bottom w:w="0" w:type="dxa"/>
            <w:right w:w="108" w:type="dxa"/>
          </w:tblCellMar>
        </w:tblPrEx>
        <w:trPr>
          <w:trHeight w:val="634"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根据投标人的生产工艺流程进行评价：</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①生产工艺流程基本完整，无明显缺漏项的得1分；</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②在①的基础上，流程存在质量控制并提供流程示意图及生产过程照片的得2分； </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③未提供或不满足以上情况的不得分。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根据投标人的踏勘报告进行评价：</w:t>
            </w:r>
          </w:p>
          <w:p>
            <w:pPr>
              <w:pStyle w:val="18"/>
              <w:numPr>
                <w:ilvl w:val="255"/>
                <w:numId w:val="0"/>
              </w:numPr>
              <w:spacing w:line="30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①踏勘报告内容基本完整，描述较准确且提供现场照片的得1分；</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②在①的基础上，踏勘报告内容详实，符合现场实际情况，有考虑到采购人特殊性的得2分；</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未提供或不满足以上情况的不得分。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本项目中标后，采购人根据现场实际要求有权对木制品的颜色、款式、规格尺寸等作出细微调整，中标价不变，</w:t>
            </w:r>
            <w:r>
              <w:rPr>
                <w:rFonts w:hint="default" w:asciiTheme="minorEastAsia" w:hAnsiTheme="minorEastAsia" w:eastAsiaTheme="minorEastAsia" w:cstheme="minorEastAsia"/>
                <w:color w:val="auto"/>
                <w:sz w:val="24"/>
                <w:szCs w:val="24"/>
                <w:highlight w:val="none"/>
              </w:rPr>
              <w:t>中标供应商</w:t>
            </w:r>
            <w:r>
              <w:rPr>
                <w:rFonts w:hint="eastAsia" w:asciiTheme="minorEastAsia" w:hAnsiTheme="minorEastAsia" w:eastAsiaTheme="minorEastAsia" w:cstheme="minorEastAsia"/>
                <w:color w:val="auto"/>
                <w:sz w:val="24"/>
                <w:szCs w:val="24"/>
                <w:highlight w:val="none"/>
              </w:rPr>
              <w:t>不得因此增加任何费用或持有任何异议。各投标人提供书面承诺</w:t>
            </w:r>
            <w:r>
              <w:rPr>
                <w:rFonts w:hint="default" w:asciiTheme="minorEastAsia" w:hAnsiTheme="minorEastAsia" w:eastAsiaTheme="minorEastAsia" w:cstheme="minorEastAsia"/>
                <w:color w:val="auto"/>
                <w:sz w:val="24"/>
                <w:szCs w:val="24"/>
                <w:highlight w:val="none"/>
              </w:rPr>
              <w:t>函</w:t>
            </w:r>
            <w:r>
              <w:rPr>
                <w:rFonts w:hint="eastAsia" w:asciiTheme="minorEastAsia" w:hAnsiTheme="minorEastAsia" w:eastAsiaTheme="minorEastAsia" w:cstheme="minorEastAsia"/>
                <w:color w:val="auto"/>
                <w:sz w:val="24"/>
                <w:szCs w:val="24"/>
                <w:highlight w:val="none"/>
              </w:rPr>
              <w:t>（承诺函格式自拟）的得3分，未提供书面承诺</w:t>
            </w:r>
            <w:r>
              <w:rPr>
                <w:rFonts w:hint="default" w:asciiTheme="minorEastAsia" w:hAnsiTheme="minorEastAsia" w:eastAsiaTheme="minorEastAsia" w:cstheme="minorEastAsia"/>
                <w:color w:val="auto"/>
                <w:sz w:val="24"/>
                <w:szCs w:val="24"/>
                <w:highlight w:val="none"/>
              </w:rPr>
              <w:t>函</w:t>
            </w:r>
            <w:r>
              <w:rPr>
                <w:rFonts w:hint="eastAsia" w:asciiTheme="minorEastAsia" w:hAnsiTheme="minorEastAsia" w:eastAsiaTheme="minorEastAsia" w:cstheme="minorEastAsia"/>
                <w:color w:val="auto"/>
                <w:sz w:val="24"/>
                <w:szCs w:val="24"/>
                <w:highlight w:val="none"/>
              </w:rPr>
              <w:t>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投标人保证在本项目使用任何产品或其任何一部分时，不会产生因第三方提出侵犯其专利权或其它知识产权而引起的法律和经济责任，因此产生的法律和经济责任由投标人承担的得3分。需提供承诺</w:t>
            </w:r>
            <w:r>
              <w:rPr>
                <w:rFonts w:hint="default" w:asciiTheme="minorEastAsia" w:hAnsiTheme="minorEastAsia" w:eastAsiaTheme="minorEastAsia" w:cstheme="minorEastAsia"/>
                <w:color w:val="auto"/>
                <w:sz w:val="24"/>
                <w:szCs w:val="24"/>
                <w:highlight w:val="none"/>
              </w:rPr>
              <w:t>函</w:t>
            </w:r>
            <w:r>
              <w:rPr>
                <w:rFonts w:hint="eastAsia" w:asciiTheme="minorEastAsia" w:hAnsiTheme="minorEastAsia" w:eastAsiaTheme="minorEastAsia" w:cstheme="minorEastAsia"/>
                <w:color w:val="auto"/>
                <w:sz w:val="24"/>
                <w:szCs w:val="24"/>
                <w:highlight w:val="none"/>
              </w:rPr>
              <w:t>（承诺函格式自拟），否则不得分。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3</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投标人承诺提供的产品应具备适应多次搬运、装卸的坚固包装，保证货物在运输装卸过程中完好无损的得3分，需提供单独书面承诺</w:t>
            </w:r>
            <w:r>
              <w:rPr>
                <w:rFonts w:hint="default" w:asciiTheme="minorEastAsia" w:hAnsiTheme="minorEastAsia" w:eastAsiaTheme="minorEastAsia" w:cstheme="minorEastAsia"/>
                <w:color w:val="auto"/>
                <w:sz w:val="24"/>
                <w:szCs w:val="24"/>
                <w:highlight w:val="none"/>
              </w:rPr>
              <w:t>函</w:t>
            </w:r>
            <w:r>
              <w:rPr>
                <w:rFonts w:hint="eastAsia" w:asciiTheme="minorEastAsia" w:hAnsiTheme="minorEastAsia" w:eastAsiaTheme="minorEastAsia" w:cstheme="minorEastAsia"/>
                <w:color w:val="auto"/>
                <w:sz w:val="24"/>
                <w:szCs w:val="24"/>
                <w:highlight w:val="none"/>
              </w:rPr>
              <w:t>（承诺函格式自拟），否则不得分。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3</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投标人承诺：所投产品完全满足采购清单所有技术参数要求的得3分，需提供承诺</w:t>
            </w:r>
            <w:r>
              <w:rPr>
                <w:rFonts w:hint="default" w:asciiTheme="minorEastAsia" w:hAnsiTheme="minorEastAsia" w:eastAsiaTheme="minorEastAsia" w:cstheme="minorEastAsia"/>
                <w:color w:val="auto"/>
                <w:sz w:val="24"/>
                <w:szCs w:val="24"/>
                <w:highlight w:val="none"/>
              </w:rPr>
              <w:t>函</w:t>
            </w:r>
            <w:r>
              <w:rPr>
                <w:rFonts w:hint="eastAsia" w:asciiTheme="minorEastAsia" w:hAnsiTheme="minorEastAsia" w:eastAsiaTheme="minorEastAsia" w:cstheme="minorEastAsia"/>
                <w:color w:val="auto"/>
                <w:sz w:val="24"/>
                <w:szCs w:val="24"/>
                <w:highlight w:val="none"/>
              </w:rPr>
              <w:t>（承诺函格式自拟）</w:t>
            </w:r>
            <w:r>
              <w:rPr>
                <w:rFonts w:hint="default"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rPr>
              <w:t>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3</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“屏风工作位”</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3324-2017《木家具通用技术条件》及GB/T 35607-2017《绿色产品评价家具》、B/T 17657-2013《人造板及饰面人造板理化性能试验方法》标准，检测项目至少包含以下项目：1.主要尺寸及其偏差；2.形状和位置公差；3.外观要求【人造板件外观（干花、湿花、污斑、表面划痕、表面压痕、色差、鼓泡、龟裂、分层）、五金件外观（喷涂件）、玻璃件外观、塑料件外观、木工要求】；4.表面理化性能【耐干热、耐湿热、耐污染性能均为5级；耐冷热循环、耐划痕、表面耐磨性（素色）均为合格；抗冲击1级】；5.力学性能【主桌面垂直静载荷（加载1000N,10次）、桌面水平静载荷（加载450N,10次）、桌面垂直冲击试验（冲击高度140mm,2次）、桌腿跌落试验（跌落高度200mm,10次）、垂直加载稳定性试验（垂直加载稳定性600N）、垂直和水平加载稳定性试试验(垂直和水平加载稳定性40N)】；6.结构安全性合格；7.甲醛释放量≤0.02mg/m³；8.总挥发性有机化合物(TVOC)未检出；9.含水率8%～11%；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556"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“升降职员椅”</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2280-2016 《办公家具 办公椅》标准，检测项目至少包含以下项目：1.主要尺寸；2.形状和位置公差； 3.外观； 4.理化性能，其中软质聚氨酯泡沫塑料：座面密度≥45kg/m³，其他部位≥35kg/m³；回弹性≥40%；75%压缩永久变形≤3.5 %；纺织面料干摩擦色牢度≥4级；金属件涂层耐盐雾24h合格；金属件涂层附着力不低于1级；电镀层耐盐雾18h合格。5.力学性能【稳定性、座面冲击、扶手垂直向下静载荷、扶手水平静载荷、脚轮往复磨损、底座静载荷、椅背往复耐久性、倾斜机构、座面回转耐久性、座面耐久性、跌落】；6.阻燃性：未发现续燃或阴燃现象；7.甲醛释放量≤0.03mg/m²h；8. TVOC结果为未检出。9.安全性。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83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“会客接待沙发”</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获得国家认可的检测机构出具的抽检报告（检测报告封面具有CMA或CNAS标志），委托单位为投标人且报告名称与上述名称一致。检验结论符合QB/T 1952.1-2023《软体家具 沙发》及GB 18584-2001《室内装饰装修材料 木家具中有害物质限量》标准，检测项目至少包含以下项目：1.主要尺寸及外形对称度【主要尺寸（功能尺寸）、外形对称度】；2.产品用料、加工【用料一致性、木制件、木材含水率：8%～11%、金属件、铺垫料、表观密度（座面：≥58kg/m³，其他部位：≥56kg/m³、回弹性能＞50%、压缩永久变形＜3%）、防锈处理、摩擦声】； 3.外观性能【面料、缝纫和包覆、木制件、金属件、五金件及其配件安装】；4.理化性能【木制件漆膜涂层（附着力≥1级、耐磨性≥1级、抗冲击≥1级；耐冷热温差）；金属件表面涂层（硬度4H、冲击强度、附着力≥1级、耐腐蚀）；金属件电镀层；摩擦色牢度（干摩擦、湿摩擦、碱性汗液4-5级）】；5.力学性能【沙发座背及扶手耐久性60000次；压缩量】；6.安全性能：结构安全性、有害物质限量【甲醛释放量、苯、甲苯、二甲苯、总挥发性有机化合物TVOC均为未检出，可分解致癌芳香胺染料、可迁移元素：铅(Pb)、镉(Cd)、铬(Cr)、汞(Hg)、锑(Sb)、钡(Ba)、硒(Se)、砷(As)均为未检出】；阻燃剂未检出，阻燃性II级;7.甲醛释放量未检出（GB 18584-2001） 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83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bidi="ar"/>
              </w:rPr>
              <w:t>根据投标人的</w:t>
            </w:r>
            <w:r>
              <w:rPr>
                <w:rFonts w:hint="eastAsia" w:asciiTheme="minorEastAsia" w:hAnsiTheme="minorEastAsia" w:eastAsiaTheme="minorEastAsia" w:cstheme="minorEastAsia"/>
                <w:b/>
                <w:bCs/>
                <w:color w:val="auto"/>
                <w:kern w:val="0"/>
                <w:sz w:val="24"/>
                <w:szCs w:val="24"/>
                <w:highlight w:val="none"/>
                <w:lang w:bidi="ar"/>
              </w:rPr>
              <w:t>“会客茶几”</w:t>
            </w:r>
            <w:r>
              <w:rPr>
                <w:rFonts w:hint="eastAsia" w:asciiTheme="minorEastAsia" w:hAnsiTheme="minorEastAsia" w:eastAsiaTheme="minorEastAsia" w:cstheme="minorEastAsia"/>
                <w:color w:val="auto"/>
                <w:kern w:val="0"/>
                <w:sz w:val="24"/>
                <w:szCs w:val="24"/>
                <w:highlight w:val="none"/>
                <w:lang w:bidi="ar"/>
              </w:rPr>
              <w:t>获得国家认可的检测机构出具的抽检报告（</w:t>
            </w:r>
            <w:r>
              <w:rPr>
                <w:rFonts w:hint="eastAsia" w:asciiTheme="minorEastAsia" w:hAnsiTheme="minorEastAsia" w:eastAsiaTheme="minorEastAsia" w:cstheme="minorEastAsia"/>
                <w:color w:val="auto"/>
                <w:sz w:val="24"/>
                <w:szCs w:val="24"/>
                <w:highlight w:val="none"/>
              </w:rPr>
              <w:t>检测报告封面具有CMA或CNAS标志</w:t>
            </w:r>
            <w:r>
              <w:rPr>
                <w:rFonts w:hint="eastAsia" w:asciiTheme="minorEastAsia" w:hAnsiTheme="minorEastAsia" w:eastAsiaTheme="minorEastAsia" w:cstheme="minorEastAsia"/>
                <w:color w:val="auto"/>
                <w:kern w:val="0"/>
                <w:sz w:val="24"/>
                <w:szCs w:val="24"/>
                <w:highlight w:val="none"/>
                <w:lang w:bidi="ar"/>
              </w:rPr>
              <w:t>），委托/受检单位为投标人且报告名称需与上述名称一致。检验结论符合GB/T 3324-2017《木家具通用技术条件》及GB 18584-2001《室内装饰装修材料 木家具中有害物质限量》标准，检测项目至少包含以下项目：1.主要尺寸及其偏差； 2.形状和位置公差；3.材料要求【木材含水率8%～11%】；4.外观要求【木制件外观；人造板件外观；】； 5.表面理化性能【耐液性1级、耐湿热1级、附着力1级、耐干热1级、耐磨性1级、抗冲击1级、耐冷热温差】；6.力学性能【主桌面垂直静载荷试验（1250N,10次）、桌面持续垂直静载荷试验（2.5kg/dm²在桌面均布加载7天）、水平静载荷试验（900N,10次）、桌面垂直冲击试验(240mm,2次)、桌腿跌落试验（600mm,10次）、桌面水平耐久性试验（6万次）、垂直加载稳定性、垂直和水平加载稳定性】；7.甲醛释放量为未检出；8.有害物质限量（重金属含量）：可溶性铅、可溶性镉、可溶性汞、可溶性铬均为未检出。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kern w:val="0"/>
                <w:sz w:val="24"/>
                <w:szCs w:val="24"/>
                <w:highlight w:val="none"/>
                <w:lang w:bidi="ar"/>
              </w:rPr>
            </w:pPr>
            <w:r>
              <w:rPr>
                <w:rFonts w:hint="eastAsia" w:asciiTheme="minorEastAsia" w:hAnsiTheme="minorEastAsia" w:eastAsiaTheme="minorEastAsia" w:cstheme="minorEastAsia"/>
                <w:color w:val="auto"/>
                <w:kern w:val="0"/>
                <w:sz w:val="24"/>
                <w:szCs w:val="24"/>
                <w:highlight w:val="none"/>
                <w:lang w:bidi="ar"/>
              </w:rPr>
              <w:t>1</w:t>
            </w:r>
          </w:p>
        </w:tc>
      </w:tr>
      <w:tr>
        <w:tblPrEx>
          <w:tblCellMar>
            <w:top w:w="0" w:type="dxa"/>
            <w:left w:w="108" w:type="dxa"/>
            <w:bottom w:w="0" w:type="dxa"/>
            <w:right w:w="108" w:type="dxa"/>
          </w:tblCellMar>
        </w:tblPrEx>
        <w:trPr>
          <w:trHeight w:val="1654"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“会议桌”</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木家具中有害物质限量》标准，检测项目至少包含以下项目：1.主要尺寸及其偏差； 2.形状和位置公差；3.材料要求【人造板含水率8%～11%】；4.外观要求【人造板件外观；五金件外观；漆膜外观要求；木工要求】； 5.表面理化性能【耐液性1级、耐湿热1级、附着力1级、耐干热1级、耐磨性1级、抗冲击1级、耐冷热温差】；6.力学性能【主桌面垂直静载荷试验（1250N,10次）、桌面持续垂直静载荷试验（2.5kg/dm²在桌面均布加载7天）、水平静载荷试验（900N,10次）、桌面垂直冲击试验(240mm,2次)、桌腿跌落试验（600mm,10次）、桌面水平耐久性试验（6万次）、垂直加载稳定性、垂直和水平加载稳定性】；7.甲醛释放量为未检出；8.有害物质限量（重金属含量）：可溶性铅、可溶性镉、可溶性汞、可溶性铬均为未检出；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82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“地柜”</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木家具中有害物质限量》标准，检测项目至少包含以下项目：1.主要尺寸及其偏差； 2.形状和位置公差；3.材料要求【含水率8%～11%】；4.外观要求【木制件外观、人造板件外观；五金件外观；木工要求；漆膜外观要求】； 5.表面理化性能【漆膜：耐液性、耐湿热、附着力、耐干热、耐磨性、抗冲击、耐冷热温差；软、硬质覆面：耐干热≥4级、耐湿热≥4级、耐污染性能≥4级、抗冲击≥2级、耐冷热循环、耐划痕、表面耐磨性、耐光色牢度】；6.金属拉手耐腐蚀性要求；7.力学性能【顶板和底板静载荷试验、拉门耐久性试验、拉门强度试验、结构和底架的强度试验；拉门垂直加载试验、拉门水平加载试验、顶板和底板的持续加载试验、跌落试验；拉门猛关试验】；8. 重金属含量（限色漆）：可溶性铅、可溶性镉、可溶性汞、可溶性铬均为未检出；9.甲醛释放量≤0.2 mg/L；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1471"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会客洽谈桌</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木家具中有害物质限量》标准，检测项目需包括以下项目：1.主要尺寸及其偏差【桌类主要尺寸、产品外形尺寸偏差】； 2.形状和位置公差；3. 材料要求【木材含水率8%～11%、人造板含水率8%～11%】；4.外观【木制件外观、人造板件外观、木工要求、漆膜外观要求】； 5.表面理化性能要求，其中漆膜中的耐液性、耐湿热、附着力、耐干热均为1级，耐冷热温差、耐磨性≥2级、抗冲击≥2级； 6.力学性能【桌类强度和耐久性、桌面持续垂直静载荷试验、水平静载荷试验、桌面垂直冲击试验、桌腿跌落试验、桌面水平耐久性试验、垂直加载稳定性、垂直和水平加载稳定性】； 7.甲醛释放量≤0.2 mg/L；8.重金属含量（限色漆）中可溶性铅、可溶性镉、可溶性铬、可溶性汞均为未检出。以上检测项目检验结论均符合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9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会客洽谈椅</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2280-2016 《办公家具 办公椅》标准，检测项目至少包含以下项目：1.主要尺寸；2.形状和位置公差【椅背偏心度、外形对称度、座面左右水平偏差、着地平稳性】；3.外观； 4.理化性能；5.力学性能【稳定性、座面冲击、扶手垂直向下静载荷、扶手水平静载荷、底座静载荷、跌落】；6.阻燃性：未发现续燃或阴燃现象；7.甲醛释放量≤0.03 mg/㎡h；8.安全性；9.TVOC为未检出；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折叠条形桌</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3325-2017《金属家具通用技术条件》及GB 18580-2017《室内装饰装修材料人造板及其制品中甲醛释放限量》标准，检测项目至少包含以下项目：1.主要尺寸及其偏差； 2.形状和位置公差； 3.外观要求； 4.表面理化性能要求，其中硬度≥2H，冲击强度、耐腐蚀、附着力、抗盐雾、耐冷热循环、耐划痕、表面耐磨性：素色均为合格，耐干热≥4级、耐湿热≥4级、耐污染性能≥4级、耐光色牢度≥4级； 5.力学性能【主桌面垂直静载荷试验、桌面持续垂直静载荷试验、水平静载荷试验、桌面垂直冲击试验、桌腿跌落试验、桌面水平耐久性试验、垂直加载稳定性、垂直和水平加载稳定性】 ；6.安全性能要求；7.甲醛释放量≤0.05mg/m³；8.重金属含量（限色漆）中可溶性铅、可溶性镉、可溶性铬、可溶性汞均为未检出。</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文件资料柜</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木家具中有害物质限量》标准，检测项目至少包含以下项目：1、主要尺寸及其偏差； 2.形状和位置公差；3.外观要求【人造板件外观、五金件外观、木工要求】；4.表面理化性能要求【耐干热≥4级、耐湿热≥4级、耐污染性能≥4级、抗冲击≥2级、耐冷热循环、耐划痕、表面耐磨性、耐光色牢度】；5.力学性能【隔板弯曲试验、隔板支承件强度试验、顶板和底板静载荷试验、拉门耐久性试验、拉门强度试验、结构和底架的强度试验、拉门垂直加载试验、拉门耐久性试验、拉门强度试验、结构和底架的强度试验、拉门垂直加载试验、拉门水平加载试验、顶板和底板的持续加载试验、跌落试验、隔板定位试验、拉门猛关试验、空载稳定性试验、非固定柜类加载稳定性试验、隔板垂直加载稳定性试验、隔板水平加载稳定性试验】； 6.安全性；7.有害物质限量：可溶性铅、镉、汞、铬均为未检出；8.甲醛释放量≤0.3mg/L；9. 人造板含水率8%～11%。</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工作台</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3325-2017《金属家具通用技术条件》、GB 18580-2017《室内装饰装修材料人造板及其制品中甲醛释放限量》及GB 18584-2001《室内装饰装修材料 木家具中有害物质限量》标准，检测项目至少包含以下项目：1.主要尺寸及其偏差； 2.形状和位置公差； 3.外观性能要求【金属件：管材、焊接件、冲压件、喷涂层、电镀层；木制件：封边处理、倒棱、崩茬、表面装饰层；】； 4.表面理化性能要求【①金属喷漆（塑）涂层：硬度≥5H、冲击强度、耐腐蚀、附着力0级；②金属电镀层：抗盐雾100h直径1.5mm以下锈点不超过5点/dm²，其中直径≥1.0mm锈点不超过2点；③木制件表面贴面层：耐冷热循环、耐划痕、表面耐磨性：素色均为合格，耐干热5级、耐湿热5级、耐污染性能5级、耐光色牢度4-5级、抗冲击1级】； 5.力学性能【主桌面垂直静载荷试验（1250N,10次）、桌面持续垂直静载荷试验（2.5kg/dm²在桌面均布加载7天）、水平静载荷试验（900N,10次）、桌面垂直冲击试验(240mm,2次)、桌腿跌落试验（600mm,10次）、桌面水平耐久性试验（6万次）、垂直加载稳定性、垂直和水平加载稳定性】 ；6.甲醛释放量、可溶性铅、可溶性镉、可溶性铬、可溶性汞均为未检出；7. 含水率；8.封边条表面胶合强度≥0.5MPa;</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布艺休闲沙发</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1952.1-2023《软体家具 沙发》及GB 18584-2001《室内装饰装修材料 木家具中有害物质限量》标准，检测项目至少包含以下项目：1.主要尺寸及外形对称度【主要尺寸（功能尺寸）、外形对称度】；2.产品用料、加工【用料一致性、木制件、木材含水率：8%～11%、金属件、铺垫料、表观密度（座面：≥58kg/m³，其他部位：≥56kg/m³、回弹性能＞50%、压缩永久变形＜3%）、防锈处理、摩擦声】； 3.外观性能【面料、缝纫和包覆、木制件、金属件、五金件及其配件安装】； 4.理化性能【木制件漆膜涂层（附着力≥1级、耐磨性≥1级、抗冲击≥1级；耐冷热温差）；金属件表面涂层（硬度4H、冲击强度、附着力≥1级、耐腐蚀）；金属件电镀层；纺织面料色牢度：耐干摩擦4-5级、耐酸汗渍4-5级、耐碱汗渍4-5级、起毛起球4-5级、耐磨性≥30000次无破损；PH】；5.力学性能【沙发座背及扶手耐久性60000次；压缩量】；6.安全性能：结构安全性、有害物质限量【甲醛释放量、苯、甲苯、二甲苯、总挥发性有机化合物TVOC均为未检出，可分解致癌芳香胺染料、可迁移元素：铅(Pb)、镉(Cd)、铬(Cr)、汞(Hg)、锑(Sb)、钡(Ba)、硒(Se)、砷(As)均为未检出】；阻燃剂未检出，阻燃性II级；7.甲醛释放量未检出（GB 18584-2001）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休息床</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木家具中有害物质限量》标准，检测项目至少包含以下项目：1.主要尺寸及其偏差【床类主要尺寸、产品外形尺寸偏差】； 2.形状和位置公差；3.材料要求【木材含水率8%～11%、人造板含水率8%～11%】；4.外观要求【木制件外观、人造板件外观、木工要求、漆膜外观要求】； 5.表面理化性能【漆膜：耐液性、耐湿热、附着力、耐干热、耐磨性、抗冲击、耐冷热温差；软、硬质覆面：耐冷热循环、耐干热、耐湿热、耐划痕、耐污染性能、表面耐磨性、抗冲击、耐光色牢度】；5.力学性能【床铺面均布静载荷试验、床铺面集中静载荷试验、床长边静载荷试验、床结构耐久性试验、床铺面冲击载荷试验、床屏水平静载荷试验】； 6. 重金属含量（限色漆）：可溶性铅、可溶性镉、可溶性汞、可溶性铬均为未检出；7.甲醛释放量≤0.2 mg/L；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床头收纳柜</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木家具中有害物质限量》标准，检测项目至少包含以下项目：1.主要尺寸及其偏差； 2.形状和位置公差；3.材料要求【人造板含水率8%～11%】；4.外观要求【干花、湿花（外表无干花、湿花）；污斑；表面划痕；表面压痕；鼓泡、龟裂、分层；色差；干花、湿花（内表无干花、湿花）；五金件外观；木工要求；漆膜外观要求】； 5.表面理化性能【耐液性≥2级、耐湿热≥2级、附着力≥2级、耐干热≥2级、耐磨性≥2级、抗冲击≥3级、耐冷热温差】；6.金属拉手耐腐蚀性要求；7.力学性能【顶板和底板静载荷试验；结构和底架的强度试验；顶板、底板的持续加载试验；跌落试验；推拉构件耐久性试验；推拉构件强度试验；抽屉猛关试验；推拉构件结构强度试验】； 8.安全性要求；9. 重金属含量（限色漆）：可溶性铅、可溶性镉、可溶性汞、可溶性铬均为未检出；10.甲醛释放量≤0.2 mg/L；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弹簧软床垫</w:t>
            </w:r>
            <w:r>
              <w:rPr>
                <w:rFonts w:hint="eastAsia" w:asciiTheme="minorEastAsia" w:hAnsiTheme="minorEastAsia" w:eastAsiaTheme="minorEastAsia" w:cstheme="minorEastAsia"/>
                <w:color w:val="auto"/>
                <w:sz w:val="24"/>
                <w:szCs w:val="24"/>
                <w:highlight w:val="none"/>
              </w:rPr>
              <w:t xml:space="preserve">”获得国家认可的检测机构出具的抽检报告（检测报告封面具有CMA或CNAS标志），委托/受检单位为投标人且报告名称需与上述名称一致。检验结论符合QB/T 1952.2-2011《软体家具 弹簧软床垫》标准，检测项目至少包含以下项目：1.外观性能【主要尺寸偏差、复合面料、缝边、拉链】; </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2.安生性能【霉变；害虫及其污染物；废旧制品；纤维性工业下脚料或用其加工的再生纤维状物质；杂物；异味；甲醛、苯、甲苯、二甲苯、总挥发性有机化合物TVOC均为未检出； 可分解芳香胺染料未检出；阻燃剂；阻燃性（阻燃II级）；弹簧】;3.理化性能【复合面料；铺垫料；弹簧芯；】; 4.功能特性【抑螨率、面料抑菌率】；</w:t>
            </w:r>
          </w:p>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耐久性【垫面（睡眠区域中心）：试验次数3万次①试验时和试验结束后，复合面料应无破损，缝边应无脱线，弹簧应无断损，铺垫料应无移位和破损；②试验结束后，垫面高度损失率＜6%；③试验结束后，硬度等级变化≤1；边部：试验次数1万次试验时和试验结束后，复合面料应无破损，缝边应无脱线，弹簧应无断损，铺垫料应无移位和破损；】; 6.标志; 7.使用说明; ；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行李收纳柜</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3324-2017《木家具通用技术条件》及GB 18584-2001《室内装饰装修材料 木家具中有害物质限量》标准，检测项目至少包含以下项目：1.主要尺寸及其偏差 ；2.形状和位置公差； 3.外观【人造板件外观、五金件外观、木工要求】； 4.表面理化性能要求【耐干热5级、耐湿热5级、耐污染性能5级、耐光色牢度≥4级、耐冷热循环、耐划痕、表面耐磨性】 5.力学性能【顶板、底板的持续加载试验；结构和底架强度试验；跌落试验；推拉构件耐久性试验；推拉构件强度试验；推拉构件结构强度试验；推拉构件猛关或猛开试验；】； 6.安全性，其中甲醛释放量≤0.2mg/L。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26</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钢柜</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3325-2017 《金属家具通用技术条件》及GB/T 35607-2017《绿色产品评价 家具》标准，检测项目至少包含以下项目：1. 重金属含量（限色漆）：可溶性铅、可溶性镉、可溶性汞、可溶性铬均为未检出；2.产品有害物质：甲醛释放量、苯、甲苯、二甲苯、总挥发性有机化合物（TVOC）均为未检出；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27</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单人休闲沙发</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1952.1-2023《软体家具 沙发》、GB 17927.2-2011《软体家具 床垫和沙发 抗引燃特性的评定 第2部分：模拟火柴火焰》、GB/T 6670-2008《软质泡沫聚合材料 落球法回弹性能》及GB/T 6343-2009《泡沫塑料及橡胶 表观密度的测定》标准，检测项目至少包含以下项目：1.主要尺寸及外形对称度【主要尺寸（功能尺寸）、外形对称度】；2.产品用料、加工【用料一致性、木制件、木材含水率：8%～11%、金属件、铺垫料、表观密度（座面：≥58kg/m³，其他部位：≥56kg/m³、回弹性能＞50%、压缩永久变形＜3%）、防锈处理、摩擦声】； 3.外观性能【面料、缝纫和包覆、木制件、金属件、五金件及其配件安装】； 4.理化性能【木制件漆膜涂层（附着力≥1级、耐磨性≥1级、抗冲击≥1级；耐冷热温差）；金属件表面涂层（硬度4H、冲击强度、附着力≥1级、耐腐蚀）；金属件电镀层；纺织面料色牢度：耐干摩擦4-5级、耐酸汗渍4-5级、耐碱汗渍4-5级、起毛起球4-5级、耐磨性≥30000次无破损；PH】；5.力学性能【沙发座背及扶手耐久性60000次；压缩量】；6.安全性能：结构安全性、有害物质限量【甲醛释放量、苯、甲苯、二甲苯、总挥发性有机化合物TVOC均为未检出，可分解致癌芳香胺染料、可迁移元素：铅(Pb)、镉(Cd)、铬(Cr)、汞(Hg)、锑(Sb)、钡(Ba)、硒(Se)、砷(As)均为未检出】；阻燃剂未检出，阻燃性II级；7.甲醛释放量未检出（GB 18584-2001）；以上项目全部符合检测依据要求得1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28</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油漆</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”获得国家认可的检测机构出具的抽检报告（检测报告封面具有CMA或CNAS标志），委托/受检单位为投标人且报告名称需与上述名称一致。检验结论符合HJ 2537-2014《环境标志产品技术要求 水性涂料》及GB 18581-2020《木器涂料中有害物质限量》标准，检测项目至少包含以下项目：1.挥发性有机化合物（VOC）清漆≤11g/L；2. 卤代烃（以二氯甲烷计）未检出；3.甲醛含量未检出；4.总铅（Pb）含量（限色漆、腻子和醇酸清漆）≤2mg/kg；5.可溶性重金属含量（限色漆、腻子和醇酸清漆）：其中镉（Cd）、铬(Cr)、汞(Hg)均为未检出；6.苯系物总和含量【限苯、甲苯、二甲苯（含乙苯）】为未检出；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29</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升降气压杆</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2280-2016 《办公家具 办公椅》、QB/T 3826-1999《轻工产品金属镀层和化学处理层的耐腐蚀试验方法 中性盐雾试验(NSS)法》、QB/T 3832-1999《轻工产品金属镀层腐蚀试验 结果的评价》及HJ 2547—2016《环境标志产品技术要求 家具》标准，检测项目至少包含以下项目：1. 中性盐雾试验（NSS）法≥700小时，检测结果耐腐蚀等级及保护等级均为10级；2.可迁移元素：锑(Sb)、砷(As)、钡(Ba)、镉(Cd)、铬(Cr)、铅(Pb)、汞(Hg)、硒(Se)均为合格；3.金属件外观【①金属件应进行防锈处理，不应有锈迹；②金属件应无端部未封口的管件。管材和冲压件：不应有裂缝、脱层，无叠缝、错位、结疤。弯管处弧形圆滑一致，波纹高低不大于0.4mm,冲压件平整；③金属件无裂纹、结疤；④焊接处应无脱焊、虚焊、焊穿；⑤焊接件无夹渣、气孔、焊瘤、咬边、飞溅；⑥铆接处无漏铆、脱铆；⑦铆接件应铆接圆滑，无锤印。】；4.涂层和镀层【①金属件涂层无漏底、凹凸、明显流挂、疙瘩、皱皮、飞漆，无剥落、返锈、漏漆现象。②金属件镀层无烧焦、起泡、针孔、裂纹、毛刺、花斑（不包括镀彩锌）和划痕。】；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阻尼滑轨</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2454-2013 《家具五金 抽屉导轨》、QB/T 3826-1999《轻工产品金属镀层和化学处理层的耐腐蚀试验方法 中性盐雾试验(NSS)法》、QB/T 3832-1999《轻工产品金属镀层腐蚀试验 结果的评价》及HJ 2547—2016《环境标志产品技术要求 家具》标准，检测项目至少包含以下项目：1. 中性盐雾试验（NSS）法≥700小时，检测结果耐腐蚀等级及保护等级均为10级；2.可迁移元素：锑(Sb)、砷(As)、钡(Ba)、镉(Cd)、铬(Cr)、铅(Pb)、汞(Hg)、硒(Se)均为合格；3.垂直向下静载荷、水平侧向静载荷、猛关或猛开、操作力、抽屉导轨组件底部变形、抽屉导轨组件结构强度、拉出安全性、下沉量、耐久性10万次均为合格；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阻尼铰链</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2189-2013 《家具五金 杯状暗铰链》、QB/T 3826-1999《轻工产品金属镀层和化学处理层的耐腐蚀试验方法 中性盐雾试验(NSS)法》、QB/T 3832-1999《轻工产品金属镀层腐蚀试验 结果的评价》及HJ 2547—2016《环境标志产品技术要求 家具》标准，检测项目至少包含以下项目：1. 中性盐雾试验（NSS）法≥700小时，检测结果耐腐蚀等级及保护等级均为10级；2.可迁移元素：锑(Sb)、砷(As)、钡(Ba)、镉(Cd)、铬(Cr)、铅(Pb)、汞(Hg)、硒(Se)均为合格；3.垂直静载荷、水平静载荷、操作力、下沉量、耐久性10万次均为合格；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钢脚架</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3325-2017 《金属家具通用技术条件》、QB/T 3826-1999《轻工产品金属镀层和化学处理层的耐腐蚀试验方法 中性盐雾试验(NSS)法》、QB/T 3832-1999《轻工产品金属镀层腐蚀试验 结果的评价》、HJ 2547—2016《环境标志产品技术要求 家具》及GB 6675.4-2014《玩具安全 第4部分：特定元素的迁移》标准，检测项目至少包含以下项目：1. 中性盐雾试验（NSS）法≥700小时，检测结果耐腐蚀等级及保护等级均为10级；2.可迁移元素：锑(Sb)、砷(As)、钡(Ba)、镉(Cd)、铬(Cr)、铅(Pb)、汞(Hg)、硒(Se)均为合格；3.喷涂层【①涂层应无漏喷、锈蚀和脱色、掉色现象；②涂层应光滑均匀，色泽一致，应无流挂、疙瘩、皱皮、飞漆等缺陷。】；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304不锈钢</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”获得国家认可的检测机构出具的抽检报告（检测报告封面具有CMA或CNAS标志），委托/受检单位为投标人且报告名称需与上述名称一致。检验结论符合QB/T 3826-1999《轻工产品金属镀层和化学处理层的耐腐蚀试验方法 中性盐雾试验(NSS)法》、HJ 2547—2016《环境标志产品技术要求 家具》及GB/T 3325-2017 《金属家具通用技术条件》标准，检测项目至少包含以下项目：1. 中性盐雾试验（NSS）法≥700小时，检测结果耐腐蚀等级及保护等级均为10级；2.可迁移元素：锑(Sb)、砷(As)、钡(Ba)、镉(Cd)、铬(Cr)、铅(Pb)、汞(Hg)、硒(Se)均为合格；3.喷涂层【①涂层应无漏喷、锈蚀和脱色、掉色现象；②涂层应光滑均匀，色泽一致，应无流挂、疙瘩、皱皮、飞漆等缺陷。】4.金属喷漆（塑）涂层【①硬度≥2H；②冲击高度400mm，应无剥落、裂纹、皱纹；③附着力为1级。】;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34</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锁具</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3325-2017 《金属家具通用技术条件》、QB/T 3826-1999《轻工产品金属镀层和化学处理层的耐腐蚀试验方法 中性盐雾试验(NSS)法》、QB/T 3832-1999《轻工产品金属镀层腐蚀试验 结果的评价》及HJ 2547—2016《环境标志产品技术要求 家具》标准，检测项目至少包含以下项目：1. 中性盐雾试验（NSS）法≥700小时，检测结果耐腐蚀等级及保护等级均为10级；2.可迁移元素：锑(Sb)、砷(As)、钡(Ba)、镉(Cd)、铬(Cr)、铅(Pb)、汞(Hg)、硒(Se)均为合格；3.喷涂层【①涂层应无漏喷、锈蚀和脱色、掉色现象；②涂层应光滑均匀，色泽一致，应无流挂、疙瘩、皱皮、飞漆等缺陷。】；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根据投标人的“</w:t>
            </w:r>
            <w:r>
              <w:rPr>
                <w:rFonts w:hint="eastAsia" w:asciiTheme="minorEastAsia" w:hAnsiTheme="minorEastAsia" w:eastAsiaTheme="minorEastAsia" w:cstheme="minorEastAsia"/>
                <w:b/>
                <w:bCs/>
                <w:color w:val="auto"/>
                <w:sz w:val="24"/>
                <w:szCs w:val="24"/>
                <w:highlight w:val="none"/>
              </w:rPr>
              <w:t>海绵</w:t>
            </w:r>
            <w:r>
              <w:rPr>
                <w:rFonts w:hint="eastAsia" w:asciiTheme="minorEastAsia" w:hAnsiTheme="minorEastAsia" w:eastAsiaTheme="minorEastAsia" w:cstheme="minorEastAsia"/>
                <w:color w:val="auto"/>
                <w:sz w:val="24"/>
                <w:szCs w:val="24"/>
                <w:highlight w:val="none"/>
              </w:rPr>
              <w:t>”获得国家认可的检测机构出具的抽检报告（检测报告封面具有CMA或CNAS标志），委托/受检单位为投标人且报告名称需与上述名称一致。检验结论符合GB/T 10802-2023《通用软质聚氨酯泡沫塑料》、QB/T2080-2018《高回弹软质聚氨酯泡沫塑料》及QB/T 2280-2016《办公家具 办公椅》标准，检测项目至少包含以下项目：裂缝、气孔、污渍、色泽、气味、两侧表皮；长度偏差、宽度偏差、厚度偏差；65%/25%压陷比≥3；75%压缩永久变形≤ 6%；回弹率≥60%；拉伸强度≥160KPa；断裂伸长率≥160%；撕裂强度≥5.0N/cm；干热老化后拉伸强度≥160KPa；干热老化后拉伸强度变化率±30%；湿热老化后拉伸强度   ≥160KPa；湿热老化后拉伸强度变化率±30%；气味≥7级；灰分≤2%；恒定负荷反复压陷疲劳性能8万次，40%压陷硬度损失值≤12%；压陷硬度40%压陷硬度≥235N；压陷硬度25%压陷硬度≥ 150N；表观密度≥55kg/m³；甲醛散发≤5（mg/kg）；甲醛≤0.03mg/m³、TVOC≤0.03mg/m³；回弹性；以上项目全部符合检测依据要求得0.5分，检测品项不齐全和检验结论不符合检验要求不得分。投标人需提供委托/受检单位为投标人且报告名称需与上述名称一致的抽检检测报告复印件并附上检测报告网址查询结果截图或带有二维码防真伪，否则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0.5</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36样品评审</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样品暗标评审：根据投标样品外观质感进行评价：外观符合要求，舒适度最好的得3分，外观基本符合要求，舒适度较好的得2分，外观不够符合要求，舒适度一般的得1分，未按要求完整提供样品的不得分。 </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37样品评审</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样品暗标评审：根据投标样品主要辅材的完整性及是否有刺激性气味等进行评价：辅材完整，无刺激性气味的得3分，辅材基本完整，无刺激性气味的得2分，其余的得1分，未按要求完整提供样品的不得分。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38样品评审</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样品暗标评审：根据投标样品的款式、用户需求的符合性等进行评价：款式精美，满足采购人需求的得3分；款式完好、基本满足采购人需求得2分；其余得1分；未按要求完整提供样品的不得分。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r>
      <w:tr>
        <w:tblPrEx>
          <w:tblCellMar>
            <w:top w:w="0" w:type="dxa"/>
            <w:left w:w="108" w:type="dxa"/>
            <w:bottom w:w="0" w:type="dxa"/>
            <w:right w:w="108" w:type="dxa"/>
          </w:tblCellMar>
        </w:tblPrEx>
        <w:trPr>
          <w:trHeight w:val="222"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39样品评审</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样品暗标评审： 根据投标人的样品加工拼接、制作工艺的符合程度等进行评价：加工制作完全符合招标要求的得2分，加工制作基本符合招标要求的得1分，其余得0.5分，未按要求完整提供样品的不得分。</w:t>
            </w:r>
          </w:p>
        </w:tc>
        <w:tc>
          <w:tcPr>
            <w:tcW w:w="8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r>
    </w:tbl>
    <w:p>
      <w:pPr>
        <w:tabs>
          <w:tab w:val="left" w:pos="-1080"/>
          <w:tab w:val="left" w:pos="180"/>
          <w:tab w:val="left" w:pos="1080"/>
        </w:tabs>
        <w:spacing w:line="360" w:lineRule="auto"/>
        <w:rPr>
          <w:rFonts w:hint="eastAsia" w:ascii="宋体" w:hAnsi="宋体" w:cs="宋体"/>
          <w:color w:val="auto"/>
          <w:sz w:val="24"/>
          <w:szCs w:val="24"/>
          <w:highlight w:val="none"/>
        </w:rPr>
      </w:pPr>
    </w:p>
    <w:p>
      <w:pPr>
        <w:tabs>
          <w:tab w:val="left" w:pos="-1080"/>
          <w:tab w:val="left" w:pos="180"/>
          <w:tab w:val="left" w:pos="10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（二）商务评分(F2)：按15分评分法，商务评分考虑下列因素：</w:t>
      </w:r>
    </w:p>
    <w:tbl>
      <w:tblPr>
        <w:tblStyle w:val="12"/>
        <w:tblW w:w="0" w:type="auto"/>
        <w:jc w:val="center"/>
        <w:tblLayout w:type="autofit"/>
        <w:tblCellMar>
          <w:top w:w="0" w:type="dxa"/>
          <w:left w:w="108" w:type="dxa"/>
          <w:bottom w:w="0" w:type="dxa"/>
          <w:right w:w="108" w:type="dxa"/>
        </w:tblCellMar>
      </w:tblPr>
      <w:tblGrid>
        <w:gridCol w:w="495"/>
        <w:gridCol w:w="7538"/>
        <w:gridCol w:w="586"/>
      </w:tblGrid>
      <w:tr>
        <w:tblPrEx>
          <w:tblCellMar>
            <w:top w:w="0" w:type="dxa"/>
            <w:left w:w="108" w:type="dxa"/>
            <w:bottom w:w="0" w:type="dxa"/>
            <w:right w:w="108" w:type="dxa"/>
          </w:tblCellMar>
        </w:tblPrEx>
        <w:trPr>
          <w:trHeight w:val="48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序号</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评分因素及评分细则</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满分</w:t>
            </w:r>
          </w:p>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分值</w:t>
            </w:r>
          </w:p>
        </w:tc>
      </w:tr>
      <w:tr>
        <w:tblPrEx>
          <w:tblCellMar>
            <w:top w:w="0" w:type="dxa"/>
            <w:left w:w="108" w:type="dxa"/>
            <w:bottom w:w="0" w:type="dxa"/>
            <w:right w:w="108" w:type="dxa"/>
          </w:tblCellMar>
        </w:tblPrEx>
        <w:trPr>
          <w:trHeight w:val="567" w:hRule="atLeast"/>
          <w:jc w:val="center"/>
        </w:trPr>
        <w:tc>
          <w:tcPr>
            <w:tcW w:w="861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商务因素（总分15分）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获得ISO9001质量管理体系认证证书、ISO14001环境管理体系认证证书、ISO45001职业健康安全管理体系认证证书，且认证范围至少包含：办公家具、公寓（宿舍）家具、医院用家具（资质许可外）、图书馆用家具、钢木家具、软体家具、人造板类家具、实木类家具、综合类木家具、金属家具、定制家具的设计、开发、生产、销售、安装及售后服务；以上全部提供者得2分，须提供相关有效期内具有CNAS标志的证书复印件并可在中国国家认证认可监督管理委员会网站http://www.cnca.gov.cn/查询到并提供网络截图，否则不得分。</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投标人通过标准GB/T 27922-2011的五星级售后服务认证证书，认证范围至少包含“办公家具、公寓家具、宿舍家具、医院用家具（资质许可外）” 的售后服务（技术支持、配送安装、维修服务、投诉处理）所涉及的售后服务评价活动；且投标人有配备5名高级售后服务管理师；投标人须提供相关有效期内证书复印件并可在中国国家认证认可监督管理委员会网站http://www.cnca.gov.cn/查询到并提供网络截图，5名高级售后服务管理师证书及需提供投标截止时间前连续3个月（不含投标截止时间当月）由投标人单位缴纳社保的凭证，以上全部提供的得2分，否则不得分。</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提供的质保期在满足招标文件要求的基础上，投标人承诺质保期为10年且提供承接过售后服务保修期为10年家具采购项目已完成的证明材料（需加盖采购人公章）的得1.5分，投标人须完整提供该项目的中标公告、中标通知书、合同、验收报告及售后服务证明材料。【备注：投标人仅提供承诺未提供相应证明材料进行佐证的不得分。】</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投标人提供的交货期在满足招标文件要求的基础上，每提前5天加0.5分（不足不计），满分1.5分，否则不得分。（投标人根据自身条件实际响应，如虚假承诺无法按时交货需承担一切不良后果）</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获得“人类工效学”认证证书，且认证范围至少包含:1.椅凳类【升降职员椅、办公椅、写字椅、折叠椅、会议椅、休闲椅、会客洽谈椅、礼堂椅、靠背椅、阅览椅、主席椅、职员椅；】；2.桌台类【办公桌、写字桌、会议桌、屏风工作位、工作位、工作台、会客洽谈桌、休闲桌、阅览桌、折叠条形桌、操作台、演讲报告台、吧台、会客茶几、休闲茶几、主席台、】；3.柜架类【床头收纳柜、鞋柜、治疗柜、行李收纳柜、茶水柜、储物柜、衣柜、钢柜、文件资料柜、地柜、高柜、图书柜】；4.沙发类【两人位沙发、会客接待沙发、单人休闲沙发、布艺休闲沙发】；以上全部提供者得1分，须提供相关有效期内证书复印件并可在中国国家认证认可监督管理委员会网站http://www.cnca.gov.cn/查询到并提供网络截图，否则不得分。</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6</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为保障投标人所供货物均能符合采购人环保要求，现从投标人生产时工业废气所产生的有害物质限量及环境噪声进行佐证评价。投标人需提供2024年以来“工业废气（有组织）、工业废气（无组织）、噪声”由国家认可的第三方检测机构出具的检测报告（检测报告封面具有CMA或CNAS标志），检测项目至少包含以下项目：1.工业废气（有组织）【非甲烷总烃、甲醛、苯、甲苯、二甲苯、苯系物、乙酸乙酯、乙酸丁酯、乙酸乙酯和乙酸丁酯合计、颗粒物】；2. 工业废气（无组织）【非甲烷总烃、总悬浮颗粒物、苯、甲苯、二甲苯】；3.噪声【生产噪声】；以上项目的检测结果均符合国家相关标准要求且检测报告附有现场采样照片的得3分，检验品项不符合或不满足要求的不得分。（</w:t>
            </w:r>
            <w:r>
              <w:rPr>
                <w:rFonts w:ascii="宋体" w:hAnsi="宋体" w:cs="宋体"/>
                <w:color w:val="auto"/>
                <w:sz w:val="24"/>
                <w:szCs w:val="24"/>
                <w:highlight w:val="none"/>
              </w:rPr>
              <w:t>原件备查</w:t>
            </w:r>
            <w:r>
              <w:rPr>
                <w:rFonts w:hint="eastAsia" w:asciiTheme="minorEastAsia" w:hAnsiTheme="minorEastAsia" w:eastAsiaTheme="minorEastAsia" w:cstheme="minorEastAsia"/>
                <w:color w:val="auto"/>
                <w:sz w:val="24"/>
                <w:szCs w:val="24"/>
                <w:highlight w:val="none"/>
              </w:rPr>
              <w:t>）</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7</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具备医院家具项目紧急供货保障经验的，每份证明（不同客户单位）得1分，满分2分。须提供业主单位出具的应急供货保障经验证明复印件（合同需体现与紧急供货的相关项目名称或能证明该项目为紧急供货的相应证明资料，否则不予认可。）</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8</w:t>
            </w:r>
          </w:p>
        </w:tc>
        <w:tc>
          <w:tcPr>
            <w:tcW w:w="0" w:type="auto"/>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根据投标人提供的2021年1月1日至开标当日（以合同签订时间为准）的业绩情况进行打分：每提供 1 个业绩得0.5分，满分2分，投标人须提供该业绩项目以下资料的有效复印件：①中标（成交）公告（提供相关网站中标（成交）公告的下载网页及其网址）；②中标（成交）通知书复印件；③采购合同文本复印件；④能够证明该业绩项目已经采购人验收合格的相关证明文件复印件。如未按照招标文件要求提供该项业绩完整资料的，评标委员会对该项业绩将不予采信。（</w:t>
            </w:r>
            <w:r>
              <w:rPr>
                <w:rFonts w:ascii="宋体" w:hAnsi="宋体" w:cs="宋体"/>
                <w:color w:val="auto"/>
                <w:sz w:val="24"/>
                <w:szCs w:val="24"/>
                <w:highlight w:val="none"/>
              </w:rPr>
              <w:t>原件备查</w:t>
            </w:r>
            <w:r>
              <w:rPr>
                <w:rFonts w:hint="eastAsia" w:asciiTheme="minorEastAsia" w:hAnsiTheme="minorEastAsia" w:eastAsiaTheme="minorEastAsia" w:cstheme="minorEastAsia"/>
                <w:color w:val="auto"/>
                <w:sz w:val="24"/>
                <w:szCs w:val="24"/>
                <w:highlight w:val="none"/>
              </w:rPr>
              <w:t>）</w:t>
            </w:r>
          </w:p>
        </w:tc>
        <w:tc>
          <w:tcPr>
            <w:tcW w:w="5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2</w:t>
            </w:r>
          </w:p>
        </w:tc>
      </w:tr>
    </w:tbl>
    <w:p>
      <w:pPr>
        <w:tabs>
          <w:tab w:val="left" w:pos="-1080"/>
          <w:tab w:val="left" w:pos="180"/>
          <w:tab w:val="left" w:pos="1080"/>
        </w:tabs>
        <w:spacing w:line="360" w:lineRule="auto"/>
        <w:rPr>
          <w:rFonts w:hint="eastAsia" w:ascii="宋体" w:hAnsi="宋体" w:cs="宋体"/>
          <w:color w:val="auto"/>
          <w:sz w:val="24"/>
          <w:szCs w:val="24"/>
          <w:highlight w:val="none"/>
        </w:rPr>
      </w:pPr>
    </w:p>
    <w:p>
      <w:pPr>
        <w:tabs>
          <w:tab w:val="left" w:pos="-1080"/>
          <w:tab w:val="left" w:pos="180"/>
          <w:tab w:val="left" w:pos="108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（三）价格评分(F3)：按30分评分法，评标委员会对各有效标投标报价进行审核确定评标价，并将最低有效标的评标价设为基准价，定其价格得分为30分。按公式：价格得分＝30</w:t>
      </w:r>
      <w:r>
        <w:rPr>
          <w:rFonts w:hint="eastAsia" w:ascii="宋体" w:hAnsi="宋体" w:cs="宋体"/>
          <w:color w:val="auto"/>
          <w:sz w:val="24"/>
          <w:szCs w:val="24"/>
          <w:highlight w:val="none"/>
        </w:rPr>
        <w:sym w:font="Symbol" w:char="00B4"/>
      </w:r>
      <w:r>
        <w:rPr>
          <w:rFonts w:hint="eastAsia" w:ascii="宋体" w:hAnsi="宋体" w:cs="宋体"/>
          <w:color w:val="auto"/>
          <w:sz w:val="24"/>
          <w:szCs w:val="24"/>
          <w:highlight w:val="none"/>
        </w:rPr>
        <w:t xml:space="preserve"> （基准价/各个通过审核的有效投标人的评标价）计算，由此算出各个通过审核的有效投标人的价格得分。</w:t>
      </w:r>
    </w:p>
    <w:p>
      <w:pPr>
        <w:spacing w:line="360" w:lineRule="auto"/>
        <w:ind w:firstLine="480" w:firstLineChars="200"/>
        <w:rPr>
          <w:rFonts w:hint="eastAsia" w:ascii="宋体" w:hAnsi="宋体" w:cs="宋体"/>
          <w:b/>
          <w:color w:val="auto"/>
          <w:sz w:val="24"/>
          <w:szCs w:val="24"/>
          <w:highlight w:val="none"/>
        </w:rPr>
      </w:pPr>
      <w:r>
        <w:rPr>
          <w:rFonts w:hint="eastAsia" w:ascii="宋体" w:hAnsi="宋体" w:cs="宋体"/>
          <w:color w:val="auto"/>
          <w:sz w:val="24"/>
          <w:szCs w:val="24"/>
          <w:highlight w:val="none"/>
        </w:rPr>
        <w:t>1、“小型和微型企业产品”的评分政策：投标人提供的货物既有中型企业制造，也有小微企业制造的，不享受办法规定的小微企业扶持政策。</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对其提供的小型或微型企业产品的投标报价给予15%的扣除，扣除后的价格作为该投标人的评标价参与价格评分。</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pPr>
        <w:pStyle w:val="11"/>
        <w:numPr>
          <w:ilvl w:val="255"/>
          <w:numId w:val="0"/>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pPr>
        <w:numPr>
          <w:ilvl w:val="255"/>
          <w:numId w:val="0"/>
        </w:numPr>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2、节能、环境标志产品价格扣除：</w:t>
      </w:r>
    </w:p>
    <w:p>
      <w:pPr>
        <w:numPr>
          <w:ilvl w:val="255"/>
          <w:numId w:val="0"/>
        </w:numPr>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pPr>
        <w:numPr>
          <w:ilvl w:val="255"/>
          <w:numId w:val="0"/>
        </w:numPr>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具体要求如下：</w:t>
      </w:r>
    </w:p>
    <w:p>
      <w:pPr>
        <w:numPr>
          <w:ilvl w:val="255"/>
          <w:numId w:val="0"/>
        </w:numPr>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pPr>
        <w:numPr>
          <w:ilvl w:val="255"/>
          <w:numId w:val="0"/>
        </w:numPr>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人应分别明确节能或环境标志产品的名称、数量、分项报价、总报价，并提供认证证书复印件，否则不予价格扣除。若节能产品、环境标志产品认证证书不能反映产品具体信息的，须提供认证证书附件。此外，若投标人对节能或环境标志产品的报价明显高于其他同类产品的报价，投标人应按评标委员会要求作出说明并提供相关证明材料，不能合理说明或不能提供相关证明材料的，不予价格扣除。</w:t>
      </w:r>
    </w:p>
    <w:p>
      <w:pPr>
        <w:widowControl/>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若节能、环境标志产品仅是构成投标产品的部件、组件或零件，则该投标产品不享受鼓励优惠政策。属于政府强制采购的节能产品不享受价格扣除优惠。若投标产品既属于节能产品又属于环境标志产品，分别计算价格扣除优惠。</w:t>
      </w:r>
    </w:p>
    <w:p>
      <w:pPr>
        <w:tabs>
          <w:tab w:val="left" w:pos="-1080"/>
          <w:tab w:val="left" w:pos="180"/>
          <w:tab w:val="left" w:pos="108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（四）综合得分= F1+ F2 + F3 。</w:t>
      </w:r>
    </w:p>
    <w:p>
      <w:pPr>
        <w:pStyle w:val="5"/>
        <w:spacing w:line="360" w:lineRule="auto"/>
        <w:ind w:firstLine="840"/>
        <w:rPr>
          <w:rFonts w:hint="eastAsia" w:hAnsi="宋体" w:cs="宋体"/>
          <w:bCs/>
          <w:color w:val="auto"/>
          <w:sz w:val="24"/>
          <w:szCs w:val="24"/>
          <w:highlight w:val="none"/>
        </w:rPr>
      </w:pPr>
      <w:r>
        <w:rPr>
          <w:rFonts w:hint="eastAsia" w:hAnsi="宋体" w:cs="宋体"/>
          <w:bCs/>
          <w:color w:val="auto"/>
          <w:sz w:val="24"/>
          <w:szCs w:val="24"/>
          <w:highlight w:val="none"/>
        </w:rPr>
        <w:t>备注：1、技术商务评分中涉及排名情况的评分由评标委员会根据各投标人投标文件的响应情况进行综合评议得出排名。</w:t>
      </w:r>
    </w:p>
    <w:p>
      <w:pPr>
        <w:pStyle w:val="5"/>
        <w:numPr>
          <w:ilvl w:val="0"/>
          <w:numId w:val="2"/>
        </w:numPr>
        <w:spacing w:line="360" w:lineRule="auto"/>
        <w:ind w:firstLine="720" w:firstLineChars="300"/>
        <w:rPr>
          <w:rFonts w:hint="eastAsia" w:hAnsi="宋体" w:cs="宋体"/>
          <w:color w:val="auto"/>
          <w:sz w:val="24"/>
          <w:szCs w:val="24"/>
          <w:highlight w:val="none"/>
        </w:rPr>
      </w:pPr>
      <w:r>
        <w:rPr>
          <w:rFonts w:hint="eastAsia" w:hAnsi="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采购单位验收合格的相关证明文件复印件，原件备查；如未按招标文件要求提供该项业绩完整资料的，评标委员会对该项业绩将不予采信。</w:t>
      </w:r>
    </w:p>
    <w:p>
      <w:pPr>
        <w:pStyle w:val="5"/>
        <w:spacing w:line="360" w:lineRule="auto"/>
        <w:ind w:firstLine="720" w:firstLineChars="300"/>
        <w:rPr>
          <w:rFonts w:hint="eastAsia" w:hAnsi="宋体" w:cs="宋体"/>
          <w:color w:val="auto"/>
          <w:sz w:val="24"/>
          <w:szCs w:val="24"/>
          <w:highlight w:val="none"/>
        </w:rPr>
      </w:pPr>
    </w:p>
    <w:p>
      <w:pPr>
        <w:pStyle w:val="5"/>
        <w:spacing w:line="360" w:lineRule="auto"/>
        <w:ind w:firstLine="720" w:firstLineChars="300"/>
        <w:rPr>
          <w:rFonts w:hint="eastAsia" w:hAnsi="宋体" w:cs="宋体"/>
          <w:color w:val="auto"/>
          <w:sz w:val="24"/>
          <w:szCs w:val="24"/>
          <w:highlight w:val="none"/>
        </w:rPr>
      </w:pPr>
    </w:p>
    <w:p>
      <w:pPr>
        <w:pStyle w:val="5"/>
        <w:spacing w:line="360" w:lineRule="auto"/>
        <w:ind w:firstLine="720" w:firstLineChars="300"/>
        <w:rPr>
          <w:rFonts w:hint="eastAsia" w:hAnsi="宋体" w:cs="宋体"/>
          <w:color w:val="auto"/>
          <w:sz w:val="24"/>
          <w:szCs w:val="24"/>
          <w:highlight w:val="none"/>
        </w:rPr>
      </w:pPr>
    </w:p>
    <w:p>
      <w:pPr>
        <w:pStyle w:val="5"/>
        <w:spacing w:line="360" w:lineRule="auto"/>
        <w:ind w:firstLine="720" w:firstLineChars="300"/>
        <w:rPr>
          <w:rFonts w:hint="eastAsia" w:hAnsi="宋体" w:cs="宋体"/>
          <w:color w:val="auto"/>
          <w:sz w:val="24"/>
          <w:szCs w:val="24"/>
          <w:highlight w:val="none"/>
        </w:rPr>
      </w:pPr>
    </w:p>
    <w:p>
      <w:pPr>
        <w:pStyle w:val="5"/>
        <w:spacing w:line="360" w:lineRule="auto"/>
        <w:ind w:firstLine="720" w:firstLineChars="300"/>
        <w:rPr>
          <w:rFonts w:hint="eastAsia" w:hAnsi="宋体" w:cs="宋体"/>
          <w:color w:val="auto"/>
          <w:sz w:val="24"/>
          <w:szCs w:val="24"/>
          <w:highlight w:val="none"/>
        </w:rPr>
      </w:pPr>
    </w:p>
    <w:p>
      <w:pPr>
        <w:pStyle w:val="5"/>
        <w:spacing w:line="360" w:lineRule="auto"/>
        <w:rPr>
          <w:rFonts w:hint="eastAsia" w:hAnsi="宋体" w:cs="宋体"/>
          <w:color w:val="auto"/>
          <w:sz w:val="24"/>
          <w:szCs w:val="24"/>
          <w:highlight w:val="none"/>
        </w:rPr>
      </w:pPr>
    </w:p>
    <w:p>
      <w:pPr>
        <w:spacing w:line="360" w:lineRule="auto"/>
        <w:ind w:firstLine="1280" w:firstLineChars="400"/>
        <w:rPr>
          <w:rFonts w:hint="eastAsia" w:ascii="宋体" w:hAnsi="宋体" w:cs="宋体"/>
          <w:color w:val="auto"/>
          <w:sz w:val="32"/>
          <w:szCs w:val="32"/>
          <w:highlight w:val="none"/>
        </w:rPr>
      </w:pPr>
    </w:p>
    <w:p>
      <w:pPr>
        <w:spacing w:line="360" w:lineRule="auto"/>
        <w:ind w:firstLine="1280" w:firstLineChars="400"/>
        <w:rPr>
          <w:rFonts w:hint="eastAsia" w:ascii="宋体" w:hAnsi="宋体" w:cs="宋体"/>
          <w:color w:val="auto"/>
          <w:sz w:val="32"/>
          <w:szCs w:val="32"/>
          <w:highlight w:val="none"/>
        </w:rPr>
      </w:pPr>
      <w:r>
        <w:rPr>
          <w:rFonts w:hint="eastAsia" w:ascii="宋体" w:hAnsi="宋体" w:cs="宋体"/>
          <w:color w:val="auto"/>
          <w:sz w:val="32"/>
          <w:szCs w:val="32"/>
          <w:highlight w:val="none"/>
        </w:rPr>
        <w:t>投标人须知前附表4：中小企业优惠办法</w:t>
      </w:r>
    </w:p>
    <w:tbl>
      <w:tblPr>
        <w:tblStyle w:val="1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1677"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w:t>
            </w:r>
          </w:p>
        </w:tc>
        <w:tc>
          <w:tcPr>
            <w:tcW w:w="6063"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w:t>
            </w:r>
          </w:p>
        </w:tc>
        <w:tc>
          <w:tcPr>
            <w:tcW w:w="1677"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本项目是否属于预留份额专门面向中小企业采购活动：</w:t>
            </w:r>
          </w:p>
        </w:tc>
        <w:tc>
          <w:tcPr>
            <w:tcW w:w="6063" w:type="dxa"/>
            <w:vAlign w:val="center"/>
          </w:tcPr>
          <w:p>
            <w:pPr>
              <w:spacing w:line="360" w:lineRule="auto"/>
              <w:rPr>
                <w:rFonts w:hint="eastAsia" w:ascii="宋体" w:hAnsi="宋体" w:eastAsia="宋体" w:cs="宋体"/>
                <w:color w:val="auto"/>
                <w:sz w:val="24"/>
                <w:szCs w:val="24"/>
                <w:highlight w:val="none"/>
                <w:lang w:val="en-US" w:eastAsia="zh-CN"/>
              </w:rPr>
            </w:pPr>
            <w:r>
              <w:rPr>
                <w:rFonts w:hint="default"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sym w:font="Wingdings 2" w:char="00A3"/>
            </w:r>
            <w:r>
              <w:rPr>
                <w:rFonts w:hint="eastAsia" w:ascii="宋体" w:hAnsi="宋体" w:cs="宋体"/>
                <w:color w:val="auto"/>
                <w:sz w:val="24"/>
                <w:szCs w:val="24"/>
                <w:highlight w:val="none"/>
              </w:rPr>
              <w:t>否</w:t>
            </w:r>
            <w:r>
              <w:rPr>
                <w:rFonts w:hint="eastAsia" w:ascii="宋体" w:hAnsi="宋体" w:cs="宋体"/>
                <w:color w:val="auto"/>
                <w:sz w:val="24"/>
                <w:szCs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vAlign w:val="center"/>
          </w:tcPr>
          <w:p>
            <w:pPr>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2</w:t>
            </w:r>
          </w:p>
        </w:tc>
        <w:tc>
          <w:tcPr>
            <w:tcW w:w="1677" w:type="dxa"/>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b/>
                <w:color w:val="auto"/>
                <w:sz w:val="24"/>
                <w:szCs w:val="24"/>
                <w:highlight w:val="none"/>
              </w:rPr>
              <w:t>中小企业的认定标准</w:t>
            </w:r>
          </w:p>
        </w:tc>
        <w:tc>
          <w:tcPr>
            <w:tcW w:w="6063" w:type="dxa"/>
          </w:tcPr>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中小企业参加政府采购活动，应当出具《中小企业声明函》，否则不得享受相关中小企业扶持政策。</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须满足以下条件，才能认定为中小企业</w:t>
            </w:r>
            <w:r>
              <w:rPr>
                <w:rFonts w:hint="eastAsia" w:ascii="宋体" w:hAnsi="宋体" w:cs="宋体"/>
                <w:b/>
                <w:color w:val="auto"/>
                <w:sz w:val="24"/>
                <w:szCs w:val="24"/>
                <w:highlight w:val="none"/>
              </w:rPr>
              <w:t>（含中型、小型、微型企业，下同）</w:t>
            </w:r>
            <w:r>
              <w:rPr>
                <w:rFonts w:hint="eastAsia" w:ascii="宋体" w:hAnsi="宋体" w:cs="宋体"/>
                <w:color w:val="auto"/>
                <w:sz w:val="24"/>
                <w:szCs w:val="24"/>
                <w:highlight w:val="none"/>
              </w:rPr>
              <w:t>：</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vAlign w:val="center"/>
          </w:tcPr>
          <w:p>
            <w:pPr>
              <w:widowControl/>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p>
        </w:tc>
        <w:tc>
          <w:tcPr>
            <w:tcW w:w="1677" w:type="dxa"/>
            <w:vAlign w:val="center"/>
          </w:tcPr>
          <w:p>
            <w:pPr>
              <w:widowControl/>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优惠办法：</w:t>
            </w:r>
          </w:p>
        </w:tc>
        <w:tc>
          <w:tcPr>
            <w:tcW w:w="6063" w:type="dxa"/>
            <w:tcBorders>
              <w:bottom w:val="single" w:color="auto" w:sz="4" w:space="0"/>
            </w:tcBorders>
          </w:tcPr>
          <w:p>
            <w:pPr>
              <w:spacing w:line="360" w:lineRule="auto"/>
              <w:ind w:left="-65" w:leftChars="-31" w:firstLine="12" w:firstLineChars="5"/>
              <w:rPr>
                <w:rFonts w:hint="eastAsia" w:ascii="宋体" w:hAnsi="宋体" w:cs="宋体"/>
                <w:b/>
                <w:color w:val="auto"/>
                <w:sz w:val="24"/>
                <w:szCs w:val="24"/>
                <w:highlight w:val="none"/>
              </w:rPr>
            </w:pPr>
            <w:r>
              <w:rPr>
                <w:rFonts w:hint="eastAsia" w:ascii="宋体" w:hAnsi="宋体" w:cs="宋体"/>
                <w:b/>
                <w:color w:val="auto"/>
                <w:sz w:val="24"/>
                <w:szCs w:val="24"/>
                <w:highlight w:val="none"/>
              </w:rPr>
              <w:t>投标人为中小企业（含中型、小型、微型企业，下同）：</w:t>
            </w:r>
          </w:p>
          <w:p>
            <w:pPr>
              <w:spacing w:line="360" w:lineRule="auto"/>
              <w:ind w:left="411"/>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①投标保证金：按招标文件约定数额的50%交纳</w:t>
            </w:r>
          </w:p>
          <w:p>
            <w:pPr>
              <w:spacing w:line="360" w:lineRule="auto"/>
              <w:ind w:left="-65" w:leftChars="-31" w:firstLine="475" w:firstLineChars="205"/>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②履约保证金：按约定比例的50%支付（如果有的话）</w:t>
            </w:r>
          </w:p>
          <w:p>
            <w:pPr>
              <w:spacing w:line="360" w:lineRule="auto"/>
              <w:ind w:left="-65" w:leftChars="-31" w:firstLine="475" w:firstLineChars="205"/>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③</w:t>
            </w:r>
            <w:r>
              <w:rPr>
                <w:rStyle w:val="15"/>
                <w:rFonts w:hint="eastAsia" w:ascii="宋体" w:hAnsi="宋体" w:cs="宋体"/>
                <w:b w:val="0"/>
                <w:color w:val="auto"/>
                <w:kern w:val="0"/>
                <w:sz w:val="24"/>
                <w:szCs w:val="24"/>
                <w:highlight w:val="none"/>
              </w:rPr>
              <w:t>代理服务费</w:t>
            </w:r>
            <w:r>
              <w:rPr>
                <w:rFonts w:hint="eastAsia" w:ascii="宋体" w:hAnsi="宋体" w:cs="宋体"/>
                <w:color w:val="auto"/>
                <w:spacing w:val="-4"/>
                <w:sz w:val="24"/>
                <w:szCs w:val="24"/>
                <w:highlight w:val="none"/>
              </w:rPr>
              <w:t>：按招标文件规定的收费标准下调10%</w:t>
            </w:r>
          </w:p>
          <w:p>
            <w:pPr>
              <w:spacing w:line="360" w:lineRule="auto"/>
              <w:ind w:left="-65" w:leftChars="-31" w:firstLine="12" w:firstLineChars="5"/>
              <w:rPr>
                <w:rFonts w:hint="eastAsia" w:ascii="宋体" w:hAnsi="宋体" w:cs="宋体"/>
                <w:b/>
                <w:color w:val="auto"/>
                <w:spacing w:val="-4"/>
                <w:sz w:val="24"/>
                <w:szCs w:val="24"/>
                <w:highlight w:val="none"/>
              </w:rPr>
            </w:pPr>
          </w:p>
          <w:p>
            <w:pPr>
              <w:spacing w:line="360" w:lineRule="auto"/>
              <w:ind w:left="-65" w:leftChars="-31" w:firstLine="12" w:firstLineChars="5"/>
              <w:rPr>
                <w:rFonts w:hint="eastAsia" w:ascii="宋体" w:hAnsi="宋体" w:cs="宋体"/>
                <w:b/>
                <w:color w:val="auto"/>
                <w:spacing w:val="-4"/>
                <w:sz w:val="24"/>
                <w:szCs w:val="24"/>
                <w:highlight w:val="none"/>
              </w:rPr>
            </w:pPr>
            <w:r>
              <w:rPr>
                <w:rFonts w:hint="eastAsia" w:ascii="宋体" w:hAnsi="宋体" w:cs="宋体"/>
                <w:b/>
                <w:color w:val="auto"/>
                <w:spacing w:val="-4"/>
                <w:sz w:val="24"/>
                <w:szCs w:val="24"/>
                <w:highlight w:val="none"/>
              </w:rPr>
              <w:t>投标产品为</w:t>
            </w:r>
            <w:r>
              <w:rPr>
                <w:rFonts w:hint="eastAsia" w:ascii="宋体" w:hAnsi="宋体" w:cs="宋体"/>
                <w:b/>
                <w:color w:val="auto"/>
                <w:sz w:val="24"/>
                <w:szCs w:val="24"/>
                <w:highlight w:val="none"/>
              </w:rPr>
              <w:t>小型企业或微型企业生产</w:t>
            </w:r>
            <w:r>
              <w:rPr>
                <w:rFonts w:hint="eastAsia" w:ascii="宋体" w:hAnsi="宋体" w:cs="宋体"/>
                <w:b/>
                <w:color w:val="auto"/>
                <w:spacing w:val="-4"/>
                <w:sz w:val="24"/>
                <w:szCs w:val="24"/>
                <w:highlight w:val="none"/>
              </w:rPr>
              <w:t>：</w:t>
            </w:r>
          </w:p>
          <w:p>
            <w:pPr>
              <w:spacing w:line="360" w:lineRule="auto"/>
              <w:ind w:firstLine="480" w:firstLineChars="200"/>
              <w:rPr>
                <w:rFonts w:hint="eastAsia" w:ascii="宋体" w:hAnsi="宋体" w:cs="宋体"/>
                <w:b/>
                <w:color w:val="auto"/>
                <w:sz w:val="24"/>
                <w:szCs w:val="24"/>
                <w:highlight w:val="none"/>
              </w:rPr>
            </w:pPr>
            <w:r>
              <w:rPr>
                <w:rFonts w:hint="eastAsia" w:ascii="宋体" w:hAnsi="宋体" w:cs="宋体"/>
                <w:color w:val="auto"/>
                <w:sz w:val="24"/>
                <w:szCs w:val="24"/>
                <w:highlight w:val="none"/>
              </w:rPr>
              <w:t>投标人提供的货物既有中型企业制造，也有小微企业制造的，不享受办法规定的小微企业扶持政策。</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对其提供的小型或微型企业产品的投标报价给予15%的扣除，扣除后的价格作为该投标人的评标价参与价格评分。</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pPr>
              <w:pStyle w:val="11"/>
              <w:numPr>
                <w:ilvl w:val="255"/>
                <w:numId w:val="0"/>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若本项目属于预留份额专门面向中小企业采购活动，不再执行价格评审优惠的扶持政策。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pPr>
              <w:widowControl/>
              <w:spacing w:line="360" w:lineRule="auto"/>
              <w:jc w:val="center"/>
              <w:rPr>
                <w:rFonts w:hint="eastAsia" w:ascii="宋体" w:hAnsi="宋体" w:cs="宋体"/>
                <w:b/>
                <w:dstrike/>
                <w:color w:val="auto"/>
                <w:sz w:val="24"/>
                <w:szCs w:val="24"/>
                <w:highlight w:val="none"/>
              </w:rPr>
            </w:pPr>
            <w:r>
              <w:rPr>
                <w:rFonts w:hint="eastAsia" w:ascii="宋体" w:hAnsi="宋体" w:cs="宋体"/>
                <w:b/>
                <w:color w:val="auto"/>
                <w:sz w:val="24"/>
                <w:szCs w:val="24"/>
                <w:highlight w:val="none"/>
              </w:rPr>
              <w:t>4</w:t>
            </w:r>
          </w:p>
        </w:tc>
        <w:tc>
          <w:tcPr>
            <w:tcW w:w="1677" w:type="dxa"/>
            <w:vAlign w:val="center"/>
          </w:tcPr>
          <w:p>
            <w:pPr>
              <w:pStyle w:val="9"/>
              <w:spacing w:before="0" w:beforeAutospacing="0" w:after="0" w:afterAutospacing="0" w:line="360" w:lineRule="auto"/>
              <w:rPr>
                <w:rFonts w:hint="eastAsia"/>
                <w:color w:val="auto"/>
                <w:highlight w:val="none"/>
              </w:rPr>
            </w:pPr>
            <w:r>
              <w:rPr>
                <w:rFonts w:hint="eastAsia"/>
                <w:color w:val="auto"/>
                <w:highlight w:val="none"/>
              </w:rPr>
              <w:t>本项目对应的中小企业划分标准所属</w:t>
            </w:r>
            <w:r>
              <w:rPr>
                <w:rFonts w:hint="eastAsia"/>
                <w:color w:val="auto"/>
                <w:highlight w:val="none"/>
                <w:u w:val="single"/>
              </w:rPr>
              <w:t xml:space="preserve"> </w:t>
            </w:r>
            <w:r>
              <w:rPr>
                <w:rFonts w:hint="eastAsia"/>
                <w:b/>
                <w:bCs/>
                <w:color w:val="auto"/>
                <w:highlight w:val="none"/>
                <w:u w:val="single"/>
              </w:rPr>
              <w:t>工业</w:t>
            </w:r>
            <w:r>
              <w:rPr>
                <w:rFonts w:hint="eastAsia"/>
                <w:color w:val="auto"/>
                <w:highlight w:val="none"/>
                <w:u w:val="single"/>
              </w:rPr>
              <w:t xml:space="preserve"> 行业。</w:t>
            </w:r>
          </w:p>
        </w:tc>
        <w:tc>
          <w:tcPr>
            <w:tcW w:w="6063" w:type="dxa"/>
            <w:tcBorders>
              <w:bottom w:val="single" w:color="auto" w:sz="4" w:space="0"/>
            </w:tcBorders>
          </w:tcPr>
          <w:p>
            <w:pPr>
              <w:spacing w:line="360" w:lineRule="auto"/>
              <w:rPr>
                <w:rFonts w:hint="eastAsia" w:ascii="宋体" w:hAnsi="宋体" w:cs="宋体"/>
                <w:dstrike/>
                <w:color w:val="auto"/>
                <w:sz w:val="24"/>
                <w:szCs w:val="24"/>
                <w:highlight w:val="none"/>
                <w:u w:val="single"/>
              </w:rPr>
            </w:pPr>
            <w:r>
              <w:rPr>
                <w:rFonts w:hint="eastAsia" w:ascii="宋体" w:hAnsi="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pPr>
              <w:widowControl/>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5</w:t>
            </w:r>
          </w:p>
        </w:tc>
        <w:tc>
          <w:tcPr>
            <w:tcW w:w="1677" w:type="dxa"/>
            <w:vAlign w:val="center"/>
          </w:tcPr>
          <w:p>
            <w:pPr>
              <w:widowControl/>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相关风险</w:t>
            </w:r>
          </w:p>
        </w:tc>
        <w:tc>
          <w:tcPr>
            <w:tcW w:w="6063" w:type="dxa"/>
            <w:tcBorders>
              <w:bottom w:val="single" w:color="auto" w:sz="4" w:space="0"/>
            </w:tcBorders>
          </w:tcPr>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一、经评标委员会评审，存在下列任一情况的，投标人将不被视为中小企业：</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1.投标人不符合“工信部联企业[2011]300号”规定的中小企业标准的；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2.投标货物全部或部分为使用大型企业注册商标的货物的；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3.投标文件中标明的中小企业产品的制造商不符合“工信部联企业[2011]300号”规定的中小企业标准的；</w:t>
            </w:r>
          </w:p>
          <w:p>
            <w:pPr>
              <w:spacing w:line="360" w:lineRule="auto"/>
              <w:ind w:firstLine="482" w:firstLineChars="200"/>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二、提供虚假声明后果：</w:t>
            </w:r>
          </w:p>
          <w:p>
            <w:pPr>
              <w:widowControl/>
              <w:spacing w:line="360" w:lineRule="auto"/>
              <w:rPr>
                <w:rFonts w:hint="eastAsia" w:ascii="宋体" w:hAnsi="宋体" w:cs="宋体"/>
                <w:b/>
                <w:i/>
                <w:color w:val="auto"/>
                <w:kern w:val="0"/>
                <w:sz w:val="24"/>
                <w:szCs w:val="24"/>
                <w:highlight w:val="none"/>
                <w:u w:val="single"/>
              </w:rPr>
            </w:pPr>
            <w:r>
              <w:rPr>
                <w:rFonts w:hint="eastAsia" w:ascii="宋体" w:hAnsi="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单位、招标代理机构将有关情况上报政府采购监管部门，由监管部门按有关规定对其进行相应处罚。采购单位、招标代理机构</w:t>
            </w:r>
            <w:r>
              <w:rPr>
                <w:rFonts w:hint="eastAsia" w:ascii="宋体" w:hAnsi="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pPr>
        <w:spacing w:line="360" w:lineRule="auto"/>
        <w:rPr>
          <w:rFonts w:hint="eastAsia" w:ascii="宋体" w:hAnsi="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pPr>
        <w:pStyle w:val="2"/>
        <w:snapToGrid w:val="0"/>
        <w:spacing w:line="360" w:lineRule="auto"/>
        <w:ind w:firstLine="0"/>
        <w:jc w:val="center"/>
        <w:rPr>
          <w:rFonts w:hint="eastAsia" w:ascii="宋体" w:hAnsi="宋体" w:cs="宋体"/>
          <w:b/>
          <w:bCs/>
          <w:color w:val="auto"/>
          <w:sz w:val="32"/>
          <w:szCs w:val="32"/>
          <w:highlight w:val="none"/>
        </w:rPr>
      </w:pPr>
      <w:r>
        <w:rPr>
          <w:rFonts w:hint="eastAsia" w:ascii="宋体" w:hAnsi="宋体" w:cs="宋体"/>
          <w:b/>
          <w:color w:val="auto"/>
          <w:sz w:val="32"/>
          <w:szCs w:val="32"/>
          <w:highlight w:val="none"/>
        </w:rPr>
        <w:t xml:space="preserve">第三章  </w:t>
      </w:r>
      <w:r>
        <w:rPr>
          <w:rFonts w:hint="eastAsia" w:ascii="宋体" w:hAnsi="宋体" w:cs="宋体"/>
          <w:b/>
          <w:bCs/>
          <w:color w:val="auto"/>
          <w:sz w:val="32"/>
          <w:szCs w:val="32"/>
          <w:highlight w:val="none"/>
        </w:rPr>
        <w:t>招标内容及要求</w:t>
      </w:r>
    </w:p>
    <w:p>
      <w:pPr>
        <w:pStyle w:val="6"/>
        <w:spacing w:after="0" w:line="360" w:lineRule="auto"/>
        <w:ind w:left="181" w:leftChars="86" w:right="-334" w:rightChars="-159"/>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提示说明：</w:t>
      </w:r>
    </w:p>
    <w:p>
      <w:pPr>
        <w:pStyle w:val="6"/>
        <w:spacing w:after="0" w:line="360" w:lineRule="auto"/>
        <w:ind w:left="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cs="宋体"/>
          <w:b/>
          <w:color w:val="auto"/>
          <w:sz w:val="24"/>
          <w:szCs w:val="24"/>
          <w:highlight w:val="none"/>
        </w:rPr>
        <w:t>投标人应对招标文件中的“*”号条款进行逐条响应，否则评标委员会对其投标做出不利评审，投标人必须自行承担责任。</w:t>
      </w:r>
    </w:p>
    <w:p>
      <w:pPr>
        <w:pStyle w:val="6"/>
        <w:spacing w:after="0" w:line="360" w:lineRule="auto"/>
        <w:ind w:left="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pPr>
        <w:pStyle w:val="6"/>
        <w:spacing w:after="0" w:line="360" w:lineRule="auto"/>
        <w:ind w:left="0" w:right="-334" w:rightChars="-159"/>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pPr>
        <w:pStyle w:val="6"/>
        <w:spacing w:after="0" w:line="360" w:lineRule="auto"/>
        <w:ind w:left="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（4）经评标委员会认定要求澄清的证明文件必须在规定的时间内提供，否则其将不具有中标供应商的资格。</w:t>
      </w: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（5）资格性证明文件请单独成册。</w:t>
      </w:r>
    </w:p>
    <w:p>
      <w:pPr>
        <w:pStyle w:val="6"/>
        <w:spacing w:after="0" w:line="360" w:lineRule="auto"/>
        <w:ind w:left="0"/>
        <w:rPr>
          <w:rFonts w:hint="eastAsia" w:ascii="宋体" w:hAnsi="宋体" w:cs="宋体"/>
          <w:b/>
          <w:bCs/>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spacing w:line="360" w:lineRule="auto"/>
        <w:jc w:val="left"/>
        <w:rPr>
          <w:rFonts w:hint="eastAsia" w:ascii="宋体" w:hAnsi="宋体"/>
          <w:b/>
          <w:color w:val="auto"/>
          <w:sz w:val="24"/>
          <w:szCs w:val="24"/>
          <w:highlight w:val="none"/>
        </w:rPr>
      </w:pPr>
      <w:r>
        <w:rPr>
          <w:rFonts w:hint="eastAsia" w:ascii="宋体" w:hAnsi="宋体"/>
          <w:b/>
          <w:color w:val="auto"/>
          <w:sz w:val="24"/>
          <w:szCs w:val="24"/>
          <w:highlight w:val="none"/>
        </w:rPr>
        <w:t>一、项目概况</w:t>
      </w:r>
    </w:p>
    <w:p>
      <w:pPr>
        <w:tabs>
          <w:tab w:val="left" w:pos="5130"/>
        </w:tabs>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我院新建科研教学楼（国家区域医疗中心建设二期）规划有学术报告厅、会议室、讨论室、办公区、教室、图书馆、学生宿舍等区域，本次项目需求为以上区域配置工位、办公椅、文件柜、储物柜、床、床垫、衣柜、床头柜、沙发、茶几、屏风、会议桌、讲台、礼堂椅、会议椅、图书柜等。</w:t>
      </w:r>
    </w:p>
    <w:p>
      <w:pPr>
        <w:tabs>
          <w:tab w:val="left" w:pos="5130"/>
        </w:tabs>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2.采购预算：390万元。</w:t>
      </w:r>
    </w:p>
    <w:p>
      <w:pPr>
        <w:tabs>
          <w:tab w:val="left" w:pos="5130"/>
        </w:tabs>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3.是否邀请投标人参与验收：否。</w:t>
      </w:r>
    </w:p>
    <w:p>
      <w:pPr>
        <w:tabs>
          <w:tab w:val="left" w:pos="5130"/>
        </w:tabs>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4.是否收取履约保证金：否。</w:t>
      </w:r>
    </w:p>
    <w:p>
      <w:pPr>
        <w:spacing w:line="360" w:lineRule="auto"/>
        <w:ind w:right="28"/>
        <w:jc w:val="left"/>
        <w:rPr>
          <w:rFonts w:hint="eastAsia" w:ascii="宋体" w:hAnsi="宋体"/>
          <w:b/>
          <w:color w:val="auto"/>
          <w:sz w:val="24"/>
          <w:szCs w:val="24"/>
          <w:highlight w:val="none"/>
        </w:rPr>
      </w:pPr>
      <w:r>
        <w:rPr>
          <w:rFonts w:ascii="宋体" w:hAnsi="宋体"/>
          <w:b/>
          <w:color w:val="auto"/>
          <w:sz w:val="24"/>
          <w:szCs w:val="24"/>
          <w:highlight w:val="none"/>
        </w:rPr>
        <w:t>二、</w:t>
      </w:r>
      <w:r>
        <w:rPr>
          <w:rFonts w:hint="eastAsia" w:ascii="宋体" w:hAnsi="宋体"/>
          <w:b/>
          <w:color w:val="auto"/>
          <w:sz w:val="24"/>
          <w:szCs w:val="24"/>
          <w:highlight w:val="none"/>
        </w:rPr>
        <w:t>采购要求</w:t>
      </w:r>
    </w:p>
    <w:p>
      <w:pPr>
        <w:spacing w:line="360" w:lineRule="auto"/>
        <w:ind w:right="28" w:firstLine="480"/>
        <w:jc w:val="left"/>
        <w:rPr>
          <w:rFonts w:hint="eastAsia" w:ascii="宋体" w:hAnsi="宋体"/>
          <w:b/>
          <w:color w:val="auto"/>
          <w:sz w:val="24"/>
          <w:szCs w:val="24"/>
          <w:highlight w:val="none"/>
        </w:rPr>
      </w:pPr>
      <w:r>
        <w:rPr>
          <w:rFonts w:hint="eastAsia" w:ascii="宋体" w:hAnsi="宋体"/>
          <w:b/>
          <w:color w:val="auto"/>
          <w:sz w:val="24"/>
          <w:szCs w:val="24"/>
          <w:highlight w:val="none"/>
        </w:rPr>
        <w:t>1.采购清单：详见附件一。</w:t>
      </w:r>
    </w:p>
    <w:p>
      <w:pPr>
        <w:widowControl/>
        <w:spacing w:after="150" w:line="300" w:lineRule="atLeast"/>
        <w:ind w:firstLine="480"/>
        <w:jc w:val="left"/>
        <w:rPr>
          <w:rFonts w:hint="eastAsia" w:ascii="宋体" w:hAnsi="宋体" w:cs="宋体"/>
          <w:color w:val="auto"/>
          <w:kern w:val="0"/>
          <w:sz w:val="24"/>
          <w:szCs w:val="24"/>
          <w:highlight w:val="none"/>
        </w:rPr>
      </w:pPr>
      <w:r>
        <w:rPr>
          <w:rFonts w:hint="eastAsia" w:ascii="宋体" w:hAnsi="宋体"/>
          <w:b/>
          <w:color w:val="auto"/>
          <w:sz w:val="24"/>
          <w:szCs w:val="24"/>
          <w:highlight w:val="none"/>
        </w:rPr>
        <w:t>1.1</w:t>
      </w:r>
      <w:r>
        <w:rPr>
          <w:rFonts w:hint="eastAsia" w:ascii="宋体" w:hAnsi="宋体" w:cs="宋体"/>
          <w:b/>
          <w:bCs/>
          <w:color w:val="auto"/>
          <w:kern w:val="0"/>
          <w:sz w:val="24"/>
          <w:szCs w:val="24"/>
          <w:highlight w:val="none"/>
          <w:shd w:val="clear" w:color="auto" w:fill="FFFFFF"/>
        </w:rPr>
        <w:t>技术参数中涉及尺寸但未明确允许正负偏离范围的，均允许偏离±2%。</w:t>
      </w:r>
    </w:p>
    <w:p>
      <w:pPr>
        <w:spacing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2．中标供应商生产前提供具体图纸供</w:t>
      </w:r>
      <w:r>
        <w:rPr>
          <w:rFonts w:hint="eastAsia" w:ascii="宋体" w:hAnsi="宋体"/>
          <w:b/>
          <w:bCs/>
          <w:color w:val="auto"/>
          <w:sz w:val="24"/>
          <w:szCs w:val="24"/>
          <w:highlight w:val="none"/>
        </w:rPr>
        <w:t>使用单位</w:t>
      </w:r>
      <w:r>
        <w:rPr>
          <w:rFonts w:hint="eastAsia" w:ascii="宋体" w:hAnsi="宋体"/>
          <w:bCs/>
          <w:color w:val="auto"/>
          <w:sz w:val="24"/>
          <w:szCs w:val="24"/>
          <w:highlight w:val="none"/>
        </w:rPr>
        <w:t>确认方可生产，价格不得调整。</w:t>
      </w:r>
    </w:p>
    <w:p>
      <w:pPr>
        <w:spacing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3．投标人应严格按照招标文件的规格、数量、技术及材质等要求进行报价。</w:t>
      </w:r>
    </w:p>
    <w:p>
      <w:pPr>
        <w:spacing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4．投标人应在投标文件中提供主要生产设备清单（需提供主要生产加工设备、产地、数量、价值）。</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5．投标人应在投标文件中提供质量管理、技术力量说明（主要生产技术骨干、质管人员的数量和职称）。</w:t>
      </w:r>
    </w:p>
    <w:p>
      <w:pPr>
        <w:spacing w:line="360" w:lineRule="auto"/>
        <w:ind w:firstLine="480" w:firstLineChars="200"/>
        <w:rPr>
          <w:rFonts w:hint="eastAsia" w:ascii="宋体" w:hAnsi="宋体"/>
          <w:color w:val="auto"/>
          <w:w w:val="200"/>
          <w:sz w:val="24"/>
          <w:szCs w:val="24"/>
          <w:highlight w:val="none"/>
          <w:shd w:val="pct10" w:color="auto" w:fill="FFFFFF"/>
        </w:rPr>
      </w:pPr>
      <w:r>
        <w:rPr>
          <w:rFonts w:hint="eastAsia" w:ascii="宋体" w:hAnsi="宋体"/>
          <w:color w:val="auto"/>
          <w:sz w:val="24"/>
          <w:szCs w:val="24"/>
          <w:highlight w:val="none"/>
        </w:rPr>
        <w:t>6．投标人产品应符合国家标准(GB/T 3324-2017木家具通用技术条件、GB/T 35607-2017绿色产品评价家具、GB/T3325-2017金属家具通用技术条件、GB 18584-2001木家具中有害物质限量、GB/T 31106-2014 家具中挥发性有机化合物的测定、GB 18580-2017室内装饰装修材料人造板及其制品中甲醛释放限量、GB 5296.6—2004家具使用说明)、部颁标准(QB/T1951.1--2010 木家具、QB/T 1951.2—2010金属家具、QB/T 1952.1—2003软体家具质量检验和评定等)制作，并在设计方案中详细说明家具的材料构成及辅材、配件(如材质、质量标准、厚度、产地、品牌、型号等)。</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7．投标人需在投标文件中提供上述货物的实物图、效果图、生产分解图、货物选用材料的说明文件。图号所指货物详见招标文件所附图纸，投标人应自行到现场进行测量。</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8．投标人需将以上货物的参考指标与所报货物的技术指标、参数，在投标文件中分别列出，一一对应。</w:t>
      </w:r>
    </w:p>
    <w:p>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*9.投标人在递交投标文件时应提供以下样品：附件一序号项标“▲”项为需要提供的样品，数量：每个“▲”项按要求提供1套。</w:t>
      </w:r>
    </w:p>
    <w:p>
      <w:pPr>
        <w:widowControl/>
        <w:spacing w:line="360" w:lineRule="auto"/>
        <w:ind w:firstLine="470"/>
        <w:jc w:val="left"/>
        <w:rPr>
          <w:rFonts w:hint="eastAsia" w:ascii="宋体" w:hAnsi="宋体"/>
          <w:b/>
          <w:color w:val="auto"/>
          <w:sz w:val="24"/>
          <w:szCs w:val="24"/>
          <w:highlight w:val="none"/>
        </w:rPr>
      </w:pPr>
      <w:r>
        <w:rPr>
          <w:rFonts w:hint="eastAsia" w:ascii="宋体" w:hAnsi="宋体"/>
          <w:b/>
          <w:bCs/>
          <w:color w:val="auto"/>
          <w:sz w:val="24"/>
          <w:szCs w:val="24"/>
          <w:highlight w:val="none"/>
        </w:rPr>
        <w:t>*10.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w:t>
      </w:r>
      <w:r>
        <w:rPr>
          <w:rFonts w:hint="eastAsia" w:ascii="宋体" w:hAnsi="宋体"/>
          <w:b/>
          <w:color w:val="auto"/>
          <w:sz w:val="24"/>
          <w:szCs w:val="24"/>
          <w:highlight w:val="none"/>
        </w:rPr>
        <w:t>送至</w:t>
      </w:r>
      <w:r>
        <w:rPr>
          <w:rFonts w:hint="eastAsia" w:ascii="宋体" w:hAnsi="宋体"/>
          <w:b/>
          <w:color w:val="auto"/>
          <w:sz w:val="24"/>
          <w:highlight w:val="none"/>
          <w:u w:val="single"/>
        </w:rPr>
        <w:t>厦门市湖里区云顶北路842号厦门市政务服务中心负一楼样品室</w:t>
      </w:r>
      <w:r>
        <w:rPr>
          <w:rFonts w:hint="eastAsia" w:ascii="宋体" w:hAnsi="宋体"/>
          <w:b/>
          <w:color w:val="auto"/>
          <w:sz w:val="24"/>
          <w:szCs w:val="24"/>
          <w:highlight w:val="none"/>
        </w:rPr>
        <w:t>。</w:t>
      </w:r>
    </w:p>
    <w:p>
      <w:pPr>
        <w:widowControl/>
        <w:spacing w:line="360" w:lineRule="auto"/>
        <w:ind w:firstLine="470"/>
        <w:jc w:val="left"/>
        <w:rPr>
          <w:rFonts w:hint="eastAsia" w:ascii="宋体" w:hAnsi="宋体"/>
          <w:b/>
          <w:bCs/>
          <w:color w:val="auto"/>
          <w:sz w:val="24"/>
          <w:szCs w:val="24"/>
          <w:highlight w:val="none"/>
        </w:rPr>
      </w:pPr>
      <w:r>
        <w:rPr>
          <w:rFonts w:hint="eastAsia" w:ascii="宋体" w:hAnsi="宋体"/>
          <w:b/>
          <w:color w:val="auto"/>
          <w:sz w:val="24"/>
          <w:szCs w:val="24"/>
          <w:highlight w:val="none"/>
        </w:rPr>
        <w:t>注：投标人提供的成品样需在投标截止时间前，在样品室摆放到位。</w:t>
      </w:r>
    </w:p>
    <w:p>
      <w:pPr>
        <w:pStyle w:val="9"/>
        <w:shd w:val="clear" w:color="auto" w:fill="FFFFFF"/>
        <w:spacing w:before="0" w:beforeAutospacing="0" w:after="0" w:afterAutospacing="0" w:line="360" w:lineRule="auto"/>
        <w:rPr>
          <w:rFonts w:hint="eastAsia"/>
          <w:b/>
          <w:color w:val="auto"/>
          <w:highlight w:val="none"/>
        </w:rPr>
      </w:pPr>
      <w:r>
        <w:rPr>
          <w:rFonts w:hint="eastAsia"/>
          <w:b/>
          <w:color w:val="auto"/>
          <w:highlight w:val="none"/>
        </w:rPr>
        <w:t>三、商务响应要求</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1.投标人应在投标文件中提供</w:t>
      </w:r>
      <w:r>
        <w:rPr>
          <w:rFonts w:hint="eastAsia" w:ascii="宋体" w:hAnsi="宋体" w:cs="仿宋"/>
          <w:color w:val="auto"/>
          <w:sz w:val="24"/>
          <w:szCs w:val="24"/>
          <w:highlight w:val="none"/>
        </w:rPr>
        <w:t>2021年1月1日至开标当日</w:t>
      </w:r>
      <w:r>
        <w:rPr>
          <w:rFonts w:hint="eastAsia" w:ascii="宋体" w:hAnsi="宋体"/>
          <w:color w:val="auto"/>
          <w:sz w:val="24"/>
          <w:szCs w:val="24"/>
          <w:highlight w:val="none"/>
        </w:rPr>
        <w:t>在中国，类似项目的合同业绩证明材料，需提供项目名称、合同金额、中标日期、联系人、用户反馈意见。</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2.投标人应在投标文件中书面承诺自身已经具备自行生产所报价的全系列产品的能力。</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3.投标人应在投标文件中提供生产合同管理计划保证书一份。</w:t>
      </w:r>
    </w:p>
    <w:p>
      <w:pPr>
        <w:spacing w:line="360" w:lineRule="auto"/>
        <w:ind w:right="359" w:rightChars="171"/>
        <w:rPr>
          <w:rFonts w:hint="eastAsia" w:ascii="宋体" w:hAnsi="宋体"/>
          <w:b/>
          <w:color w:val="auto"/>
          <w:sz w:val="24"/>
          <w:szCs w:val="24"/>
          <w:highlight w:val="none"/>
        </w:rPr>
      </w:pPr>
      <w:r>
        <w:rPr>
          <w:rFonts w:hint="eastAsia" w:ascii="宋体" w:hAnsi="宋体"/>
          <w:b/>
          <w:color w:val="auto"/>
          <w:sz w:val="24"/>
          <w:szCs w:val="24"/>
          <w:highlight w:val="none"/>
        </w:rPr>
        <w:t>四、货物质量标准、验收标准</w:t>
      </w:r>
    </w:p>
    <w:p>
      <w:pPr>
        <w:pStyle w:val="4"/>
        <w:spacing w:line="360" w:lineRule="auto"/>
        <w:ind w:left="0" w:leftChars="0"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1．投标人提供货物的制造标准、安装标准、验收标准及技术规范等有关资料应符合国家规定的有关标准、规范要求。</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2．投标人应保证提供原产、正宗品牌货物，不得用伪劣货物替代；如出现上述质量问题</w:t>
      </w:r>
      <w:r>
        <w:rPr>
          <w:rFonts w:hint="eastAsia" w:ascii="宋体" w:hAnsi="宋体"/>
          <w:b/>
          <w:color w:val="auto"/>
          <w:sz w:val="24"/>
          <w:szCs w:val="24"/>
          <w:highlight w:val="none"/>
        </w:rPr>
        <w:t>使用单位</w:t>
      </w:r>
      <w:r>
        <w:rPr>
          <w:rFonts w:hint="eastAsia" w:ascii="宋体" w:hAnsi="宋体"/>
          <w:color w:val="auto"/>
          <w:sz w:val="24"/>
          <w:szCs w:val="24"/>
          <w:highlight w:val="none"/>
        </w:rPr>
        <w:t>有权退货并解除合同。</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3．在生产过程或验收过程中发现中标供应商对中标货物进行分包、转包，</w:t>
      </w:r>
      <w:r>
        <w:rPr>
          <w:rFonts w:hint="eastAsia" w:ascii="宋体" w:hAnsi="宋体"/>
          <w:b/>
          <w:color w:val="auto"/>
          <w:sz w:val="24"/>
          <w:szCs w:val="24"/>
          <w:highlight w:val="none"/>
        </w:rPr>
        <w:t>使用单位</w:t>
      </w:r>
      <w:r>
        <w:rPr>
          <w:rFonts w:hint="eastAsia" w:ascii="宋体" w:hAnsi="宋体"/>
          <w:color w:val="auto"/>
          <w:sz w:val="24"/>
          <w:szCs w:val="24"/>
          <w:highlight w:val="none"/>
        </w:rPr>
        <w:t>有权单方解除合同并有权拒付全部货款。所有中标产品须有中标供应商的注册商标。</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4．货物安装所需的配件或附加件，在合同签订前由中标供应商提交具体清单给</w:t>
      </w:r>
      <w:r>
        <w:rPr>
          <w:rFonts w:hint="eastAsia" w:ascii="宋体" w:hAnsi="宋体"/>
          <w:b/>
          <w:color w:val="auto"/>
          <w:sz w:val="24"/>
          <w:szCs w:val="24"/>
          <w:highlight w:val="none"/>
        </w:rPr>
        <w:t>使用单位</w:t>
      </w:r>
      <w:r>
        <w:rPr>
          <w:rFonts w:hint="eastAsia" w:ascii="宋体" w:hAnsi="宋体"/>
          <w:color w:val="auto"/>
          <w:sz w:val="24"/>
          <w:szCs w:val="24"/>
          <w:highlight w:val="none"/>
        </w:rPr>
        <w:t>确认。采购需求附件一（下表图片为网图，仅做参考，具体颜色以实际需求为准）。</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*5.投标人必须在投标文件中书面承诺</w:t>
      </w:r>
      <w:r>
        <w:rPr>
          <w:rFonts w:hint="default" w:ascii="宋体" w:hAnsi="宋体"/>
          <w:b/>
          <w:color w:val="auto"/>
          <w:sz w:val="24"/>
          <w:szCs w:val="24"/>
          <w:highlight w:val="none"/>
        </w:rPr>
        <w:t>函（格式自拟）</w:t>
      </w:r>
      <w:r>
        <w:rPr>
          <w:rFonts w:hint="eastAsia" w:ascii="宋体" w:hAnsi="宋体"/>
          <w:b/>
          <w:color w:val="auto"/>
          <w:sz w:val="24"/>
          <w:szCs w:val="24"/>
          <w:highlight w:val="none"/>
        </w:rPr>
        <w:t>：中标后生产前，向使用单位确定所供货物的相关事项，款式经使用单位最终书面确认以及是否增减后方可投入生产。否则，由此产生的一切后果由投标人负责。</w:t>
      </w:r>
    </w:p>
    <w:p>
      <w:pPr>
        <w:pStyle w:val="5"/>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6.货物初验：货物运抵</w:t>
      </w:r>
      <w:r>
        <w:rPr>
          <w:rFonts w:hint="eastAsia" w:hAnsi="宋体"/>
          <w:b/>
          <w:color w:val="auto"/>
          <w:sz w:val="24"/>
          <w:szCs w:val="24"/>
          <w:highlight w:val="none"/>
        </w:rPr>
        <w:t>使用单位</w:t>
      </w:r>
      <w:r>
        <w:rPr>
          <w:rFonts w:hint="eastAsia" w:hAnsi="宋体"/>
          <w:color w:val="auto"/>
          <w:sz w:val="24"/>
          <w:szCs w:val="24"/>
          <w:highlight w:val="none"/>
        </w:rPr>
        <w:t>指定地点后由</w:t>
      </w:r>
      <w:r>
        <w:rPr>
          <w:rFonts w:hint="eastAsia" w:hAnsi="宋体"/>
          <w:b/>
          <w:color w:val="auto"/>
          <w:sz w:val="24"/>
          <w:szCs w:val="24"/>
          <w:highlight w:val="none"/>
        </w:rPr>
        <w:t>使用单位</w:t>
      </w:r>
      <w:r>
        <w:rPr>
          <w:rFonts w:hint="eastAsia" w:hAnsi="宋体"/>
          <w:color w:val="auto"/>
          <w:sz w:val="24"/>
          <w:szCs w:val="24"/>
          <w:highlight w:val="none"/>
        </w:rPr>
        <w:t>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pPr>
        <w:pStyle w:val="5"/>
        <w:tabs>
          <w:tab w:val="left" w:pos="540"/>
        </w:tabs>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7.最终验收：中标供应商负责现场安装、调试，待性能指标经验收合格后（附验收报告），中标供应商应与</w:t>
      </w:r>
      <w:r>
        <w:rPr>
          <w:rFonts w:hint="eastAsia" w:hAnsi="宋体"/>
          <w:b/>
          <w:color w:val="auto"/>
          <w:sz w:val="24"/>
          <w:szCs w:val="24"/>
          <w:highlight w:val="none"/>
        </w:rPr>
        <w:t>使用单位</w:t>
      </w:r>
      <w:r>
        <w:rPr>
          <w:rFonts w:hint="eastAsia" w:hAnsi="宋体"/>
          <w:color w:val="auto"/>
          <w:sz w:val="24"/>
          <w:szCs w:val="24"/>
          <w:highlight w:val="none"/>
        </w:rPr>
        <w:t>共同签署《厦门市政府采购验收报告》。</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*8.投标人必须在投标文件中书面承诺</w:t>
      </w:r>
      <w:r>
        <w:rPr>
          <w:rFonts w:hint="default" w:ascii="宋体" w:hAnsi="宋体"/>
          <w:b/>
          <w:color w:val="auto"/>
          <w:sz w:val="24"/>
          <w:szCs w:val="24"/>
          <w:highlight w:val="none"/>
        </w:rPr>
        <w:t>函（格式自拟）</w:t>
      </w:r>
      <w:r>
        <w:rPr>
          <w:rFonts w:hint="eastAsia" w:ascii="宋体" w:hAnsi="宋体"/>
          <w:b/>
          <w:color w:val="auto"/>
          <w:sz w:val="24"/>
          <w:szCs w:val="24"/>
          <w:highlight w:val="none"/>
        </w:rPr>
        <w:t>：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验收过程中产生的所有检测费用由中标供应商全部承担，使用单位不再有任何增补。</w:t>
      </w:r>
    </w:p>
    <w:p>
      <w:pPr>
        <w:pStyle w:val="5"/>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9.投标人不得虚报各项技术指标，中标产品若不能符合技术要求、招标文件及合同约定的，</w:t>
      </w:r>
      <w:r>
        <w:rPr>
          <w:rFonts w:hint="eastAsia" w:hAnsi="宋体"/>
          <w:b/>
          <w:color w:val="auto"/>
          <w:sz w:val="24"/>
          <w:szCs w:val="24"/>
          <w:highlight w:val="none"/>
        </w:rPr>
        <w:t>使用单位</w:t>
      </w:r>
      <w:r>
        <w:rPr>
          <w:rFonts w:hint="eastAsia" w:hAnsi="宋体"/>
          <w:color w:val="auto"/>
          <w:sz w:val="24"/>
          <w:szCs w:val="24"/>
          <w:highlight w:val="none"/>
        </w:rPr>
        <w:t>有权退货并单方解除合同，中标供应商除退还所有的货款外，还应向支付合同总价30%的违约金。</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*10.投标人必须在投标文件中书面承诺</w:t>
      </w:r>
      <w:r>
        <w:rPr>
          <w:rFonts w:hint="default" w:ascii="宋体" w:hAnsi="宋体"/>
          <w:b/>
          <w:color w:val="auto"/>
          <w:sz w:val="24"/>
          <w:szCs w:val="24"/>
          <w:highlight w:val="none"/>
        </w:rPr>
        <w:t>函（格式自拟）</w:t>
      </w:r>
      <w:r>
        <w:rPr>
          <w:rFonts w:hint="eastAsia" w:ascii="宋体" w:hAnsi="宋体"/>
          <w:b/>
          <w:color w:val="auto"/>
          <w:sz w:val="24"/>
          <w:szCs w:val="24"/>
          <w:highlight w:val="none"/>
        </w:rPr>
        <w:t>：一旦中标，在保证按招标文件中要求提供的产品数量进行供货外，还应保证能够免费提供足够的样品供使用单位邀请相关部门对其在封闭式的环境中进行检测；如经检测家具环保等指标达不到国家以及招标文件中的要求，投标人应按成交价的2倍金额赔偿给使用单位。</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11、</w:t>
      </w:r>
      <w:r>
        <w:rPr>
          <w:rFonts w:hint="eastAsia" w:ascii="宋体" w:hAnsi="宋体" w:cs="仿宋"/>
          <w:color w:val="auto"/>
          <w:sz w:val="24"/>
          <w:szCs w:val="24"/>
          <w:highlight w:val="none"/>
        </w:rPr>
        <w:t>投标人保证在本项目使用任何产品或其任何一部分时，不会产生因第三方提出侵犯其专利权或其它知识产权而引起的法律和经济责任。</w:t>
      </w:r>
    </w:p>
    <w:p>
      <w:pPr>
        <w:spacing w:line="360" w:lineRule="auto"/>
        <w:ind w:right="359" w:rightChars="171"/>
        <w:jc w:val="left"/>
        <w:rPr>
          <w:rFonts w:hint="eastAsia" w:ascii="宋体" w:hAnsi="宋体"/>
          <w:b/>
          <w:color w:val="auto"/>
          <w:sz w:val="24"/>
          <w:szCs w:val="24"/>
          <w:highlight w:val="none"/>
        </w:rPr>
      </w:pPr>
      <w:r>
        <w:rPr>
          <w:rFonts w:hint="eastAsia" w:ascii="宋体" w:hAnsi="宋体"/>
          <w:b/>
          <w:color w:val="auto"/>
          <w:sz w:val="24"/>
          <w:szCs w:val="24"/>
          <w:highlight w:val="none"/>
        </w:rPr>
        <w:t>五、货物技术服务要求</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一名专人与使用单位建立服务联系。⑤安装过程中，接受物业管理，造成二次污染及破坏，由中标供应商承担所有费用，直至修复完成。</w:t>
      </w:r>
    </w:p>
    <w:p>
      <w:pPr>
        <w:pStyle w:val="5"/>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w:t>
      </w:r>
      <w:r>
        <w:rPr>
          <w:rFonts w:hint="eastAsia" w:hAnsi="宋体"/>
          <w:b/>
          <w:color w:val="auto"/>
          <w:sz w:val="24"/>
          <w:szCs w:val="24"/>
          <w:highlight w:val="none"/>
        </w:rPr>
        <w:t>使用单位</w:t>
      </w:r>
      <w:r>
        <w:rPr>
          <w:rFonts w:hint="eastAsia" w:hAnsi="宋体"/>
          <w:color w:val="auto"/>
          <w:sz w:val="24"/>
          <w:szCs w:val="24"/>
          <w:highlight w:val="none"/>
        </w:rPr>
        <w:t>确认后结算（结算金额不超过此项报价）。投标人应提供免费技术支持力度等情况。</w:t>
      </w:r>
    </w:p>
    <w:p>
      <w:pPr>
        <w:pStyle w:val="5"/>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3.投标人能长期提供良好的技术支持及备品备件的优惠供应。</w:t>
      </w:r>
    </w:p>
    <w:p>
      <w:pPr>
        <w:pStyle w:val="5"/>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4.投标人如有其它更好的售后服务应在方案中书面声明。</w:t>
      </w:r>
    </w:p>
    <w:p>
      <w:pPr>
        <w:spacing w:line="360" w:lineRule="auto"/>
        <w:ind w:right="359" w:rightChars="171"/>
        <w:rPr>
          <w:rFonts w:hint="eastAsia" w:ascii="宋体" w:hAnsi="宋体"/>
          <w:b/>
          <w:color w:val="auto"/>
          <w:sz w:val="24"/>
          <w:szCs w:val="24"/>
          <w:highlight w:val="none"/>
        </w:rPr>
      </w:pPr>
      <w:r>
        <w:rPr>
          <w:rFonts w:hint="eastAsia" w:ascii="宋体" w:hAnsi="宋体"/>
          <w:b/>
          <w:color w:val="auto"/>
          <w:sz w:val="24"/>
          <w:szCs w:val="24"/>
          <w:highlight w:val="none"/>
        </w:rPr>
        <w:t>六、货物报价</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1.投标人须以人民币报价且报价总价应含货物费、运至使用单位指定地点的运输费、保险费和伴随服务费（包括产品检验检测）、安装调试（包括安装所需的辅材、配件等）费用、税收及售后服务等一切与完成本项目相关的费用，报价方式为指定目的地价。一旦中标，</w:t>
      </w:r>
      <w:r>
        <w:rPr>
          <w:rFonts w:ascii="宋体" w:hAnsi="宋体"/>
          <w:b/>
          <w:color w:val="auto"/>
          <w:sz w:val="24"/>
          <w:szCs w:val="24"/>
          <w:highlight w:val="none"/>
        </w:rPr>
        <w:t>合同价款将不予调整</w:t>
      </w:r>
      <w:r>
        <w:rPr>
          <w:rFonts w:hint="eastAsia" w:ascii="宋体" w:hAnsi="宋体"/>
          <w:b/>
          <w:color w:val="auto"/>
          <w:sz w:val="24"/>
          <w:szCs w:val="24"/>
          <w:highlight w:val="none"/>
        </w:rPr>
        <w:t>（除非有核减）</w:t>
      </w:r>
      <w:r>
        <w:rPr>
          <w:rFonts w:ascii="宋体" w:hAnsi="宋体"/>
          <w:b/>
          <w:color w:val="auto"/>
          <w:sz w:val="24"/>
          <w:szCs w:val="24"/>
          <w:highlight w:val="none"/>
        </w:rPr>
        <w:t>。</w:t>
      </w:r>
      <w:r>
        <w:rPr>
          <w:rFonts w:hint="eastAsia" w:ascii="宋体" w:hAnsi="宋体"/>
          <w:b/>
          <w:color w:val="auto"/>
          <w:sz w:val="24"/>
          <w:szCs w:val="24"/>
          <w:highlight w:val="none"/>
        </w:rPr>
        <w:t>使用单位不接受有选择的报价。</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2.投标人应严格按照招标文件的规格、数量、技术及材质等要求进行投标报价。</w:t>
      </w:r>
    </w:p>
    <w:p>
      <w:pPr>
        <w:spacing w:line="360" w:lineRule="auto"/>
        <w:ind w:right="359" w:rightChars="171"/>
        <w:rPr>
          <w:rFonts w:hint="eastAsia" w:ascii="宋体" w:hAnsi="宋体"/>
          <w:b/>
          <w:color w:val="auto"/>
          <w:sz w:val="24"/>
          <w:szCs w:val="24"/>
          <w:highlight w:val="none"/>
        </w:rPr>
      </w:pPr>
      <w:r>
        <w:rPr>
          <w:rFonts w:hint="eastAsia" w:ascii="宋体" w:hAnsi="宋体"/>
          <w:b/>
          <w:color w:val="auto"/>
          <w:sz w:val="24"/>
          <w:szCs w:val="24"/>
          <w:highlight w:val="none"/>
        </w:rPr>
        <w:t>七、付款方式</w:t>
      </w:r>
    </w:p>
    <w:p>
      <w:pPr>
        <w:spacing w:line="360" w:lineRule="auto"/>
        <w:ind w:firstLine="487" w:firstLineChars="203"/>
        <w:rPr>
          <w:rFonts w:hint="eastAsia"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s="宋体"/>
          <w:b/>
          <w:color w:val="auto"/>
          <w:sz w:val="24"/>
          <w:szCs w:val="24"/>
          <w:highlight w:val="none"/>
        </w:rPr>
        <w:t>依据市财政及使用单位拨款进度，支付本项目款项。合同签订后10个工作日内，采购单位向</w:t>
      </w:r>
      <w:r>
        <w:rPr>
          <w:rFonts w:hint="default" w:ascii="宋体" w:hAnsi="宋体" w:cs="宋体"/>
          <w:b/>
          <w:color w:val="auto"/>
          <w:sz w:val="24"/>
          <w:szCs w:val="24"/>
          <w:highlight w:val="none"/>
        </w:rPr>
        <w:t>中标供应商</w:t>
      </w:r>
      <w:r>
        <w:rPr>
          <w:rFonts w:hint="eastAsia" w:ascii="宋体" w:hAnsi="宋体" w:cs="宋体"/>
          <w:b/>
          <w:color w:val="auto"/>
          <w:sz w:val="24"/>
          <w:szCs w:val="24"/>
          <w:highlight w:val="none"/>
        </w:rPr>
        <w:t>支付合同总价</w:t>
      </w:r>
      <w:r>
        <w:rPr>
          <w:rFonts w:hint="eastAsia" w:ascii="宋体" w:hAnsi="宋体" w:cs="宋体"/>
          <w:b/>
          <w:color w:val="auto"/>
          <w:sz w:val="24"/>
          <w:szCs w:val="24"/>
          <w:highlight w:val="none"/>
          <w:lang w:val="en-US" w:eastAsia="zh-CN"/>
        </w:rPr>
        <w:t>9</w:t>
      </w:r>
      <w:r>
        <w:rPr>
          <w:rFonts w:hint="eastAsia" w:ascii="宋体" w:hAnsi="宋体" w:cs="宋体"/>
          <w:b/>
          <w:color w:val="auto"/>
          <w:sz w:val="24"/>
          <w:szCs w:val="24"/>
          <w:highlight w:val="none"/>
        </w:rPr>
        <w:t>0%的预付款。</w:t>
      </w:r>
      <w:r>
        <w:rPr>
          <w:rFonts w:hint="default" w:ascii="宋体" w:hAnsi="宋体" w:cs="宋体"/>
          <w:b/>
          <w:color w:val="auto"/>
          <w:sz w:val="24"/>
          <w:szCs w:val="24"/>
          <w:highlight w:val="none"/>
        </w:rPr>
        <w:t>中标供应商</w:t>
      </w:r>
      <w:r>
        <w:rPr>
          <w:rFonts w:hint="eastAsia" w:ascii="宋体" w:hAnsi="宋体" w:cs="宋体"/>
          <w:b/>
          <w:color w:val="auto"/>
          <w:sz w:val="24"/>
          <w:szCs w:val="24"/>
          <w:highlight w:val="none"/>
        </w:rPr>
        <w:t>供货安装、调试完毕，使用单位验收合格后，</w:t>
      </w:r>
      <w:r>
        <w:rPr>
          <w:rFonts w:hint="default" w:ascii="宋体" w:hAnsi="宋体" w:cs="宋体"/>
          <w:b/>
          <w:color w:val="auto"/>
          <w:sz w:val="24"/>
          <w:szCs w:val="24"/>
          <w:highlight w:val="none"/>
        </w:rPr>
        <w:t>中标供应商</w:t>
      </w:r>
      <w:r>
        <w:rPr>
          <w:rFonts w:hint="eastAsia" w:ascii="宋体" w:hAnsi="宋体" w:cs="宋体"/>
          <w:b/>
          <w:color w:val="auto"/>
          <w:sz w:val="24"/>
          <w:szCs w:val="24"/>
          <w:highlight w:val="none"/>
        </w:rPr>
        <w:t>开具合同总价100%的正规发票（即中标金额的97%）、《厦门市政府采购验收报告》和全部货物清单给采购单位，采购单位收到最终用户货款后凭发票及验收报告支付至本合同总价100%的款项（即中标金额的97%）。</w:t>
      </w:r>
    </w:p>
    <w:p>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八、合同签订</w:t>
      </w:r>
    </w:p>
    <w:p>
      <w:pPr>
        <w:spacing w:line="360" w:lineRule="auto"/>
        <w:ind w:firstLine="470" w:firstLineChars="196"/>
        <w:rPr>
          <w:rFonts w:hint="eastAsia" w:ascii="宋体" w:hAnsi="宋体"/>
          <w:color w:val="auto"/>
          <w:sz w:val="24"/>
          <w:szCs w:val="24"/>
          <w:highlight w:val="none"/>
        </w:rPr>
      </w:pPr>
      <w:r>
        <w:rPr>
          <w:rFonts w:hint="eastAsia" w:ascii="宋体" w:hAnsi="宋体"/>
          <w:color w:val="auto"/>
          <w:sz w:val="24"/>
          <w:szCs w:val="24"/>
          <w:highlight w:val="none"/>
        </w:rPr>
        <w:t>1.中标供应商接到中标通知书后30个日历日内，持中标通知书与采购人签订合同。</w:t>
      </w:r>
    </w:p>
    <w:p>
      <w:pPr>
        <w:spacing w:line="360" w:lineRule="auto"/>
        <w:ind w:firstLine="378"/>
        <w:rPr>
          <w:rFonts w:hint="eastAsia" w:ascii="宋体" w:hAnsi="宋体"/>
          <w:color w:val="auto"/>
          <w:sz w:val="24"/>
          <w:szCs w:val="24"/>
          <w:highlight w:val="none"/>
        </w:rPr>
      </w:pPr>
      <w:r>
        <w:rPr>
          <w:rFonts w:hint="eastAsia" w:ascii="宋体" w:hAnsi="宋体"/>
          <w:color w:val="auto"/>
          <w:sz w:val="24"/>
          <w:szCs w:val="24"/>
          <w:highlight w:val="none"/>
        </w:rPr>
        <w:t>2.招标文件、投标文件均作为合同订立的基础，为合同组成部分。</w:t>
      </w:r>
    </w:p>
    <w:p>
      <w:pPr>
        <w:spacing w:line="360" w:lineRule="auto"/>
        <w:ind w:right="-63" w:rightChars="-30"/>
        <w:rPr>
          <w:rFonts w:hint="eastAsia" w:ascii="宋体" w:hAnsi="宋体"/>
          <w:b/>
          <w:color w:val="auto"/>
          <w:sz w:val="24"/>
          <w:szCs w:val="24"/>
          <w:highlight w:val="none"/>
        </w:rPr>
      </w:pPr>
      <w:r>
        <w:rPr>
          <w:rFonts w:hint="eastAsia" w:ascii="宋体" w:hAnsi="宋体"/>
          <w:b/>
          <w:color w:val="auto"/>
          <w:sz w:val="24"/>
          <w:szCs w:val="24"/>
          <w:highlight w:val="none"/>
        </w:rPr>
        <w:t>九、其他事项</w:t>
      </w:r>
    </w:p>
    <w:p>
      <w:pPr>
        <w:widowControl/>
        <w:spacing w:line="360" w:lineRule="auto"/>
        <w:ind w:firstLine="482"/>
        <w:jc w:val="left"/>
        <w:rPr>
          <w:rFonts w:hint="eastAsia" w:ascii="宋体" w:hAnsi="宋体"/>
          <w:color w:val="auto"/>
          <w:sz w:val="24"/>
          <w:szCs w:val="24"/>
          <w:highlight w:val="none"/>
        </w:rPr>
      </w:pPr>
      <w:r>
        <w:rPr>
          <w:rFonts w:hint="eastAsia" w:ascii="宋体" w:hAnsi="宋体"/>
          <w:b/>
          <w:color w:val="auto"/>
          <w:sz w:val="24"/>
          <w:szCs w:val="24"/>
          <w:highlight w:val="none"/>
        </w:rPr>
        <w:t>*1.本项目采购预算为人民币</w:t>
      </w:r>
      <w:r>
        <w:rPr>
          <w:rFonts w:hint="eastAsia" w:ascii="宋体" w:hAnsi="宋体" w:cs="宋体"/>
          <w:b/>
          <w:color w:val="auto"/>
          <w:sz w:val="24"/>
          <w:szCs w:val="24"/>
          <w:highlight w:val="none"/>
          <w:u w:val="single"/>
        </w:rPr>
        <w:t>390</w:t>
      </w:r>
      <w:r>
        <w:rPr>
          <w:rFonts w:hint="eastAsia" w:ascii="宋体" w:hAnsi="宋体"/>
          <w:b/>
          <w:color w:val="auto"/>
          <w:sz w:val="24"/>
          <w:szCs w:val="24"/>
          <w:highlight w:val="none"/>
        </w:rPr>
        <w:t xml:space="preserve">万元，采购预算为最高限价，投标人的投标总报价都不得超过最高限价，否则将做无效投标处理。 </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2.投标人提供公司的基本情况、业绩、主要技术人员及资信证明。</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3．投标人在投标文件中详细说明所投货物的技术水平、性能等(材质构成、油漆、内外部结构、五金配件、制造工艺、生产流程、加工设备及其它)。</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4．附件及零配件：投标人应列出备品/备件及附件的清单及价格。</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5．投标人认为有必要提供的其它技术资料。</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6．投标人若有其它方面的特殊功能及优惠条件，可在投标文件中注明。</w:t>
      </w:r>
    </w:p>
    <w:p>
      <w:pPr>
        <w:spacing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7</w:t>
      </w:r>
      <w:r>
        <w:rPr>
          <w:rFonts w:hint="eastAsia" w:ascii="宋体" w:hAnsi="宋体"/>
          <w:color w:val="auto"/>
          <w:sz w:val="24"/>
          <w:szCs w:val="24"/>
          <w:highlight w:val="none"/>
        </w:rPr>
        <w:t>．如</w:t>
      </w:r>
      <w:r>
        <w:rPr>
          <w:rFonts w:hint="eastAsia" w:ascii="宋体" w:hAnsi="宋体"/>
          <w:bCs/>
          <w:color w:val="auto"/>
          <w:sz w:val="24"/>
          <w:szCs w:val="24"/>
          <w:highlight w:val="none"/>
        </w:rPr>
        <w:t>使用单位对采购数量有所调整，将按中标单价调整合同总价，中标供应商不得有异议。如款式及型号有所变动必须经使用单位书面确认，涉及单价变动的以中标单价为基准，由使用单位和中标供应商协商确定。</w:t>
      </w:r>
    </w:p>
    <w:p>
      <w:pPr>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*8.交付使用期：合同签订之日起45个日历日内（含交货、安装并验收合格交付使用）。</w:t>
      </w:r>
    </w:p>
    <w:p>
      <w:pPr>
        <w:spacing w:line="360" w:lineRule="auto"/>
        <w:ind w:firstLine="480" w:firstLineChars="200"/>
        <w:rPr>
          <w:rFonts w:hint="eastAsia" w:ascii="宋体" w:hAnsi="宋体"/>
          <w:color w:val="auto"/>
          <w:kern w:val="0"/>
          <w:sz w:val="24"/>
          <w:szCs w:val="24"/>
          <w:highlight w:val="none"/>
        </w:rPr>
      </w:pPr>
      <w:r>
        <w:rPr>
          <w:rFonts w:hint="eastAsia" w:ascii="宋体" w:hAnsi="宋体"/>
          <w:color w:val="auto"/>
          <w:sz w:val="24"/>
          <w:szCs w:val="24"/>
          <w:highlight w:val="none"/>
        </w:rPr>
        <w:t>9.安装过程中，</w:t>
      </w:r>
      <w:r>
        <w:rPr>
          <w:rFonts w:hint="default" w:ascii="宋体" w:hAnsi="宋体"/>
          <w:color w:val="auto"/>
          <w:kern w:val="0"/>
          <w:sz w:val="24"/>
          <w:szCs w:val="24"/>
          <w:highlight w:val="none"/>
        </w:rPr>
        <w:t>中标供应商</w:t>
      </w:r>
      <w:r>
        <w:rPr>
          <w:rFonts w:hint="eastAsia" w:ascii="宋体" w:hAnsi="宋体"/>
          <w:color w:val="auto"/>
          <w:kern w:val="0"/>
          <w:sz w:val="24"/>
          <w:szCs w:val="24"/>
          <w:highlight w:val="none"/>
        </w:rPr>
        <w:t>应与相关单位互相协调配合，充分考虑现场的各种客观因素。</w:t>
      </w:r>
      <w:r>
        <w:rPr>
          <w:rFonts w:hint="default" w:ascii="宋体" w:hAnsi="宋体"/>
          <w:color w:val="auto"/>
          <w:kern w:val="0"/>
          <w:sz w:val="24"/>
          <w:szCs w:val="24"/>
          <w:highlight w:val="none"/>
        </w:rPr>
        <w:t>中标供应商</w:t>
      </w:r>
      <w:r>
        <w:rPr>
          <w:rFonts w:hint="eastAsia" w:ascii="宋体" w:hAnsi="宋体"/>
          <w:color w:val="auto"/>
          <w:sz w:val="24"/>
          <w:szCs w:val="24"/>
          <w:highlight w:val="none"/>
        </w:rPr>
        <w:t>须接受物业管理，</w:t>
      </w:r>
      <w:r>
        <w:rPr>
          <w:rFonts w:hint="eastAsia" w:ascii="宋体" w:hAnsi="宋体"/>
          <w:color w:val="auto"/>
          <w:kern w:val="0"/>
          <w:sz w:val="24"/>
          <w:szCs w:val="24"/>
          <w:highlight w:val="none"/>
        </w:rPr>
        <w:t>应进行现场维护，对所有设施均有责任进行防护和爱惜，造成损坏的应及时进行修复，不得对周围环境和设备造成破坏和污染。</w:t>
      </w:r>
      <w:r>
        <w:rPr>
          <w:rFonts w:hint="eastAsia" w:ascii="宋体" w:hAnsi="宋体"/>
          <w:color w:val="auto"/>
          <w:sz w:val="24"/>
          <w:szCs w:val="24"/>
          <w:highlight w:val="none"/>
        </w:rPr>
        <w:t xml:space="preserve"> </w:t>
      </w:r>
    </w:p>
    <w:p>
      <w:pPr>
        <w:tabs>
          <w:tab w:val="left" w:pos="5130"/>
        </w:tabs>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10.确保工期如期完成，供应商投标时须提供该措施，包括安全、保洁、噪声等防患以及施工计划安排措施。</w:t>
      </w:r>
    </w:p>
    <w:p>
      <w:pPr>
        <w:tabs>
          <w:tab w:val="left" w:pos="5130"/>
        </w:tabs>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11.中标供应商负责提供的货物由使用单位指定的摆放位置，如果指定摆放位置被占用，由中标供应商负责搬运,搬运至使用单位指定位置。</w:t>
      </w:r>
    </w:p>
    <w:p>
      <w:pPr>
        <w:tabs>
          <w:tab w:val="left" w:pos="5130"/>
        </w:tabs>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*12.本项目专门面向中小企业采购，不再执行价格评审优惠的扶持政策，所报所有采购标的均为中小微企业制造。</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13.</w:t>
      </w:r>
      <w:r>
        <w:rPr>
          <w:rFonts w:ascii="宋体" w:hAnsi="宋体" w:cs="宋体"/>
          <w:color w:val="auto"/>
          <w:sz w:val="24"/>
          <w:szCs w:val="24"/>
          <w:highlight w:val="none"/>
        </w:rPr>
        <w:t>原件备查指：评审结束后，有质疑投诉或是采购人</w:t>
      </w:r>
      <w:r>
        <w:rPr>
          <w:rFonts w:hint="eastAsia" w:ascii="宋体" w:hAnsi="宋体" w:cs="宋体"/>
          <w:color w:val="auto"/>
          <w:sz w:val="24"/>
          <w:szCs w:val="24"/>
          <w:highlight w:val="none"/>
        </w:rPr>
        <w:t>或是使用单位</w:t>
      </w:r>
      <w:r>
        <w:rPr>
          <w:rFonts w:ascii="宋体" w:hAnsi="宋体" w:cs="宋体"/>
          <w:color w:val="auto"/>
          <w:sz w:val="24"/>
          <w:szCs w:val="24"/>
          <w:highlight w:val="none"/>
        </w:rPr>
        <w:t>发现虚假应标等情况，投标人需在3个工作日内提交原件核查，否则被视为放弃中标资格或做虚假应标处理。投标人提供书面承诺函（格式自拟）。</w:t>
      </w:r>
    </w:p>
    <w:p>
      <w:pPr>
        <w:tabs>
          <w:tab w:val="left" w:pos="5130"/>
        </w:tabs>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w:t>
      </w:r>
      <w:r>
        <w:rPr>
          <w:rFonts w:hint="eastAsia"/>
          <w:color w:val="auto"/>
          <w:sz w:val="24"/>
          <w:szCs w:val="24"/>
          <w:highlight w:val="none"/>
        </w:rPr>
        <w:t>现场踏勘：</w:t>
      </w:r>
      <w:r>
        <w:rPr>
          <w:rFonts w:hint="eastAsia"/>
          <w:color w:val="auto"/>
          <w:sz w:val="24"/>
          <w:szCs w:val="24"/>
          <w:highlight w:val="none"/>
          <w:lang w:eastAsia="zh-CN"/>
        </w:rPr>
        <w:t>踏勘时间：</w:t>
      </w:r>
      <w:r>
        <w:rPr>
          <w:rFonts w:hint="eastAsia"/>
          <w:color w:val="auto"/>
          <w:sz w:val="24"/>
          <w:szCs w:val="24"/>
          <w:highlight w:val="none"/>
          <w:lang w:val="en-US" w:eastAsia="zh-CN"/>
        </w:rPr>
        <w:t>报名截止后的第一个工作日上午（9:00-11:30）；下午（15:30-17:30）。投标</w:t>
      </w:r>
      <w:r>
        <w:rPr>
          <w:rFonts w:hint="eastAsia"/>
          <w:color w:val="auto"/>
          <w:sz w:val="24"/>
          <w:szCs w:val="24"/>
          <w:highlight w:val="none"/>
        </w:rPr>
        <w:t>人可根据项目对现场及周围环境进行踏勘，以便获取有关编制</w:t>
      </w:r>
      <w:r>
        <w:rPr>
          <w:rFonts w:hint="eastAsia"/>
          <w:color w:val="auto"/>
          <w:sz w:val="24"/>
          <w:szCs w:val="24"/>
          <w:highlight w:val="none"/>
          <w:lang w:val="en-US" w:eastAsia="zh-CN"/>
        </w:rPr>
        <w:t>投标</w:t>
      </w:r>
      <w:r>
        <w:rPr>
          <w:rFonts w:hint="eastAsia"/>
          <w:color w:val="auto"/>
          <w:sz w:val="24"/>
          <w:szCs w:val="24"/>
          <w:highlight w:val="none"/>
        </w:rPr>
        <w:t>文件和签署合同所涉及现场的资料。踏勘现场所发生的费用由</w:t>
      </w:r>
      <w:r>
        <w:rPr>
          <w:rFonts w:hint="eastAsia"/>
          <w:color w:val="auto"/>
          <w:sz w:val="24"/>
          <w:szCs w:val="24"/>
          <w:highlight w:val="none"/>
          <w:lang w:val="en-US" w:eastAsia="zh-CN"/>
        </w:rPr>
        <w:t>投标</w:t>
      </w:r>
      <w:r>
        <w:rPr>
          <w:rFonts w:hint="eastAsia"/>
          <w:color w:val="auto"/>
          <w:sz w:val="24"/>
          <w:szCs w:val="24"/>
          <w:highlight w:val="none"/>
        </w:rPr>
        <w:t>人自己承担。</w:t>
      </w:r>
      <w:r>
        <w:rPr>
          <w:rFonts w:hint="eastAsia"/>
          <w:color w:val="auto"/>
          <w:sz w:val="24"/>
          <w:szCs w:val="24"/>
          <w:highlight w:val="none"/>
          <w:lang w:val="en-US" w:eastAsia="zh-CN"/>
        </w:rPr>
        <w:t>使用单位</w:t>
      </w:r>
      <w:r>
        <w:rPr>
          <w:rFonts w:hint="eastAsia"/>
          <w:color w:val="auto"/>
          <w:sz w:val="24"/>
          <w:szCs w:val="24"/>
          <w:highlight w:val="none"/>
        </w:rPr>
        <w:t>向</w:t>
      </w:r>
      <w:r>
        <w:rPr>
          <w:rFonts w:hint="eastAsia"/>
          <w:color w:val="auto"/>
          <w:sz w:val="24"/>
          <w:szCs w:val="24"/>
          <w:highlight w:val="none"/>
          <w:lang w:val="en-US" w:eastAsia="zh-CN"/>
        </w:rPr>
        <w:t>投标</w:t>
      </w:r>
      <w:r>
        <w:rPr>
          <w:rFonts w:hint="eastAsia"/>
          <w:color w:val="auto"/>
          <w:sz w:val="24"/>
          <w:szCs w:val="24"/>
          <w:highlight w:val="none"/>
        </w:rPr>
        <w:t>人提供的有关现场的资料和数据，是</w:t>
      </w:r>
      <w:r>
        <w:rPr>
          <w:rFonts w:hint="eastAsia"/>
          <w:color w:val="auto"/>
          <w:sz w:val="24"/>
          <w:szCs w:val="24"/>
          <w:highlight w:val="none"/>
          <w:lang w:val="en-US" w:eastAsia="zh-CN"/>
        </w:rPr>
        <w:t>使用单位</w:t>
      </w:r>
      <w:r>
        <w:rPr>
          <w:rFonts w:hint="eastAsia"/>
          <w:color w:val="auto"/>
          <w:sz w:val="24"/>
          <w:szCs w:val="24"/>
          <w:highlight w:val="none"/>
        </w:rPr>
        <w:t>现有的能被</w:t>
      </w:r>
      <w:r>
        <w:rPr>
          <w:rFonts w:hint="eastAsia"/>
          <w:color w:val="auto"/>
          <w:sz w:val="24"/>
          <w:szCs w:val="24"/>
          <w:highlight w:val="none"/>
          <w:lang w:val="en-US" w:eastAsia="zh-CN"/>
        </w:rPr>
        <w:t>投标</w:t>
      </w:r>
      <w:r>
        <w:rPr>
          <w:rFonts w:hint="eastAsia"/>
          <w:color w:val="auto"/>
          <w:sz w:val="24"/>
          <w:szCs w:val="24"/>
          <w:highlight w:val="none"/>
        </w:rPr>
        <w:t>人利用的资料。</w:t>
      </w:r>
      <w:r>
        <w:rPr>
          <w:rFonts w:hint="eastAsia"/>
          <w:color w:val="auto"/>
          <w:sz w:val="24"/>
          <w:szCs w:val="24"/>
          <w:highlight w:val="none"/>
          <w:lang w:val="en-US" w:eastAsia="zh-CN"/>
        </w:rPr>
        <w:t>使用单位</w:t>
      </w:r>
      <w:r>
        <w:rPr>
          <w:rFonts w:hint="eastAsia"/>
          <w:color w:val="auto"/>
          <w:sz w:val="24"/>
          <w:szCs w:val="24"/>
          <w:highlight w:val="none"/>
        </w:rPr>
        <w:t>对</w:t>
      </w:r>
      <w:r>
        <w:rPr>
          <w:rFonts w:hint="eastAsia"/>
          <w:color w:val="auto"/>
          <w:sz w:val="24"/>
          <w:szCs w:val="24"/>
          <w:highlight w:val="none"/>
          <w:lang w:val="en-US" w:eastAsia="zh-CN"/>
        </w:rPr>
        <w:t>投标</w:t>
      </w:r>
      <w:r>
        <w:rPr>
          <w:rFonts w:hint="eastAsia"/>
          <w:color w:val="auto"/>
          <w:sz w:val="24"/>
          <w:szCs w:val="24"/>
          <w:highlight w:val="none"/>
        </w:rPr>
        <w:t>人做出的理解、推论和结论均不负责任</w:t>
      </w:r>
      <w:r>
        <w:rPr>
          <w:rFonts w:hint="eastAsia"/>
          <w:color w:val="auto"/>
          <w:sz w:val="24"/>
          <w:szCs w:val="24"/>
          <w:highlight w:val="none"/>
          <w:lang w:eastAsia="zh-CN"/>
        </w:rPr>
        <w:t>，</w:t>
      </w:r>
      <w:r>
        <w:rPr>
          <w:rFonts w:hint="eastAsia"/>
          <w:color w:val="auto"/>
          <w:sz w:val="24"/>
          <w:szCs w:val="24"/>
          <w:highlight w:val="none"/>
          <w:lang w:val="en-US" w:eastAsia="zh-CN"/>
        </w:rPr>
        <w:t>踏勘过程的安全责任由投标人自行承担</w:t>
      </w:r>
      <w:r>
        <w:rPr>
          <w:rFonts w:hint="eastAsia"/>
          <w:color w:val="auto"/>
          <w:sz w:val="24"/>
          <w:szCs w:val="24"/>
          <w:highlight w:val="none"/>
        </w:rPr>
        <w:t>。踏勘联系人及电话</w:t>
      </w:r>
      <w:r>
        <w:rPr>
          <w:rFonts w:hint="eastAsia"/>
          <w:color w:val="auto"/>
          <w:sz w:val="24"/>
          <w:szCs w:val="24"/>
          <w:highlight w:val="none"/>
          <w:u w:val="single"/>
        </w:rPr>
        <w:t>：</w:t>
      </w:r>
      <w:r>
        <w:rPr>
          <w:rFonts w:hint="eastAsia"/>
          <w:color w:val="auto"/>
          <w:sz w:val="24"/>
          <w:szCs w:val="24"/>
          <w:highlight w:val="none"/>
          <w:u w:val="single"/>
          <w:lang w:val="en-US" w:eastAsia="zh-CN"/>
        </w:rPr>
        <w:t xml:space="preserve"> 周老师，0592-3569006 </w:t>
      </w:r>
      <w:r>
        <w:rPr>
          <w:rFonts w:hint="eastAsia"/>
          <w:color w:val="auto"/>
          <w:sz w:val="24"/>
          <w:szCs w:val="24"/>
          <w:highlight w:val="none"/>
        </w:rPr>
        <w:t>。</w:t>
      </w: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rPr>
          <w:rFonts w:hint="eastAsia" w:ascii="宋体" w:hAnsi="宋体" w:cs="宋体"/>
          <w:color w:val="auto"/>
          <w:sz w:val="24"/>
          <w:szCs w:val="24"/>
          <w:highlight w:val="none"/>
        </w:rPr>
      </w:pPr>
    </w:p>
    <w:p>
      <w:pPr>
        <w:tabs>
          <w:tab w:val="left" w:pos="5130"/>
        </w:tabs>
        <w:spacing w:line="360" w:lineRule="auto"/>
        <w:rPr>
          <w:rFonts w:hint="eastAsia" w:ascii="宋体" w:hAnsi="宋体" w:cs="宋体"/>
          <w:color w:val="auto"/>
          <w:sz w:val="24"/>
          <w:szCs w:val="24"/>
          <w:highlight w:val="none"/>
        </w:rPr>
      </w:pPr>
    </w:p>
    <w:p>
      <w:pPr>
        <w:tabs>
          <w:tab w:val="left" w:pos="5130"/>
        </w:tabs>
        <w:spacing w:line="360" w:lineRule="auto"/>
        <w:rPr>
          <w:rFonts w:hint="eastAsia" w:ascii="宋体" w:hAnsi="宋体" w:cs="宋体"/>
          <w:color w:val="auto"/>
          <w:sz w:val="24"/>
          <w:szCs w:val="24"/>
          <w:highlight w:val="none"/>
        </w:rPr>
      </w:pPr>
    </w:p>
    <w:p>
      <w:pPr>
        <w:tabs>
          <w:tab w:val="left" w:pos="5130"/>
        </w:tabs>
        <w:spacing w:line="360" w:lineRule="auto"/>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spacing w:line="360" w:lineRule="auto"/>
        <w:rPr>
          <w:rFonts w:hint="eastAsia" w:ascii="宋体" w:hAnsi="宋体" w:cs="宋体"/>
          <w:color w:val="auto"/>
          <w:sz w:val="32"/>
          <w:szCs w:val="32"/>
          <w:highlight w:val="none"/>
        </w:rPr>
      </w:pPr>
      <w:r>
        <w:rPr>
          <w:rFonts w:hint="eastAsia" w:ascii="宋体" w:hAnsi="宋体" w:cs="宋体"/>
          <w:b/>
          <w:color w:val="auto"/>
          <w:sz w:val="32"/>
          <w:szCs w:val="32"/>
          <w:highlight w:val="none"/>
        </w:rPr>
        <w:t>附表：</w:t>
      </w:r>
    </w:p>
    <w:p>
      <w:pPr>
        <w:spacing w:line="360" w:lineRule="auto"/>
        <w:ind w:firstLine="630" w:firstLineChars="196"/>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技术规格及商务响应表</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pPr>
        <w:spacing w:line="360" w:lineRule="auto"/>
        <w:rPr>
          <w:rFonts w:hint="eastAsia" w:ascii="宋体" w:hAnsi="宋体" w:cs="宋体"/>
          <w:b/>
          <w:color w:val="auto"/>
          <w:sz w:val="24"/>
          <w:szCs w:val="24"/>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货物</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规格</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tabs>
                <w:tab w:val="left" w:pos="624"/>
                <w:tab w:val="left" w:pos="2988"/>
                <w:tab w:val="left" w:pos="7849"/>
              </w:tabs>
              <w:spacing w:line="360" w:lineRule="auto"/>
              <w:ind w:firstLine="482" w:firstLineChars="200"/>
              <w:rPr>
                <w:rFonts w:hint="eastAsia"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2" w:firstLineChars="200"/>
              <w:rPr>
                <w:rFonts w:hint="eastAsia"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tabs>
                <w:tab w:val="left" w:pos="992"/>
                <w:tab w:val="left" w:pos="1080"/>
              </w:tabs>
              <w:spacing w:line="360" w:lineRule="auto"/>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tabs>
                <w:tab w:val="left" w:pos="1080"/>
              </w:tabs>
              <w:spacing w:line="360" w:lineRule="auto"/>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pPr>
              <w:pStyle w:val="6"/>
              <w:spacing w:after="0" w:line="360" w:lineRule="auto"/>
              <w:ind w:left="0"/>
              <w:rPr>
                <w:rFonts w:hint="eastAsia"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r>
    </w:tbl>
    <w:p>
      <w:pPr>
        <w:tabs>
          <w:tab w:val="left" w:pos="5130"/>
        </w:tabs>
        <w:spacing w:line="360" w:lineRule="auto"/>
        <w:ind w:firstLine="480" w:firstLineChars="200"/>
        <w:rPr>
          <w:rFonts w:hint="eastAsia" w:ascii="宋体" w:hAnsi="宋体" w:cs="宋体"/>
          <w:color w:val="auto"/>
          <w:sz w:val="24"/>
          <w:szCs w:val="24"/>
          <w:highlight w:val="none"/>
        </w:rPr>
      </w:pPr>
    </w:p>
    <w:p>
      <w:pPr>
        <w:tabs>
          <w:tab w:val="left" w:pos="5130"/>
        </w:tabs>
        <w:spacing w:line="360" w:lineRule="auto"/>
        <w:ind w:firstLine="480" w:firstLineChars="200"/>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pPr>
    </w:p>
    <w:p>
      <w:pPr>
        <w:spacing w:line="360" w:lineRule="auto"/>
        <w:rPr>
          <w:rFonts w:hint="eastAsia" w:ascii="宋体" w:hAnsi="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pPr>
        <w:spacing w:line="360" w:lineRule="auto"/>
        <w:jc w:val="center"/>
        <w:rPr>
          <w:rFonts w:hint="eastAsia" w:ascii="宋体" w:hAnsi="宋体" w:cs="宋体"/>
          <w:b/>
          <w:color w:val="auto"/>
          <w:sz w:val="32"/>
          <w:szCs w:val="32"/>
          <w:highlight w:val="none"/>
        </w:rPr>
      </w:pPr>
      <w:r>
        <w:rPr>
          <w:rFonts w:hint="eastAsia" w:ascii="宋体" w:hAnsi="宋体" w:cs="宋体"/>
          <w:b/>
          <w:bCs/>
          <w:color w:val="auto"/>
          <w:sz w:val="32"/>
          <w:szCs w:val="32"/>
          <w:highlight w:val="none"/>
        </w:rPr>
        <w:t>第四章</w:t>
      </w:r>
      <w:r>
        <w:rPr>
          <w:rFonts w:hint="eastAsia" w:ascii="宋体" w:hAnsi="宋体" w:cs="宋体"/>
          <w:b/>
          <w:color w:val="auto"/>
          <w:sz w:val="32"/>
          <w:szCs w:val="32"/>
          <w:highlight w:val="none"/>
        </w:rPr>
        <w:t xml:space="preserve">  </w:t>
      </w:r>
      <w:r>
        <w:rPr>
          <w:rFonts w:ascii="宋体" w:hAnsi="宋体" w:cs="宋体"/>
          <w:b/>
          <w:color w:val="auto"/>
          <w:sz w:val="32"/>
          <w:szCs w:val="32"/>
          <w:highlight w:val="none"/>
        </w:rPr>
        <w:t>大宗</w:t>
      </w:r>
      <w:r>
        <w:rPr>
          <w:rFonts w:hint="eastAsia" w:ascii="宋体" w:hAnsi="宋体" w:cs="宋体"/>
          <w:b/>
          <w:color w:val="auto"/>
          <w:sz w:val="32"/>
          <w:szCs w:val="32"/>
          <w:highlight w:val="none"/>
        </w:rPr>
        <w:t>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tcPr>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注释： </w:t>
            </w:r>
          </w:p>
          <w:p>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pPr>
        <w:spacing w:line="360" w:lineRule="auto"/>
        <w:ind w:left="-284"/>
        <w:jc w:val="center"/>
        <w:rPr>
          <w:rFonts w:hint="eastAsia" w:ascii="宋体" w:hAnsi="宋体"/>
          <w:color w:val="auto"/>
          <w:sz w:val="24"/>
          <w:szCs w:val="24"/>
          <w:highlight w:val="none"/>
        </w:rPr>
      </w:pPr>
      <w:bookmarkStart w:id="0" w:name="htmc"/>
      <w:bookmarkEnd w:id="0"/>
      <w:r>
        <w:rPr>
          <w:rFonts w:hint="eastAsia" w:ascii="宋体" w:hAnsi="宋体" w:cs="宋体"/>
          <w:b/>
          <w:bCs/>
          <w:color w:val="auto"/>
          <w:sz w:val="24"/>
          <w:szCs w:val="24"/>
          <w:highlight w:val="none"/>
        </w:rPr>
        <w:t>XM2024—DZ004</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采购合同</w:t>
      </w:r>
      <w:r>
        <w:rPr>
          <w:rFonts w:hint="eastAsia" w:ascii="宋体" w:hAnsi="宋体"/>
          <w:color w:val="auto"/>
          <w:sz w:val="24"/>
          <w:szCs w:val="24"/>
          <w:highlight w:val="none"/>
          <w:lang w:bidi="ar"/>
        </w:rPr>
        <w:t xml:space="preserve">                                  </w:t>
      </w:r>
      <w:bookmarkStart w:id="1" w:name="jfhtbh"/>
      <w:bookmarkEnd w:id="1"/>
    </w:p>
    <w:p>
      <w:pPr>
        <w:spacing w:line="360" w:lineRule="auto"/>
        <w:ind w:right="480"/>
        <w:jc w:val="center"/>
        <w:rPr>
          <w:rFonts w:hint="eastAsia"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买方（采购单位）：厦门万翔网络商务有限公司            签订地点：厦门</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卖方（中标/成交供应商）：                                  </w:t>
      </w:r>
    </w:p>
    <w:p>
      <w:pPr>
        <w:spacing w:line="360" w:lineRule="auto"/>
        <w:ind w:right="48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根据买方对</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家具</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进行采购（招标/项目编号：      ）的采购结果，现依照招标/采购文件、投标/报价文件及有关法律、法规、规章规定的内容，双方达成如下协议：</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12"/>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bidi="ar"/>
              </w:rPr>
              <w:t>合同总价，</w:t>
            </w:r>
            <w:r>
              <w:rPr>
                <w:rFonts w:hint="eastAsia" w:ascii="宋体" w:hAnsi="宋体" w:cs="宋体"/>
                <w:color w:val="auto"/>
                <w:kern w:val="0"/>
                <w:sz w:val="24"/>
                <w:szCs w:val="24"/>
                <w:highlight w:val="none"/>
              </w:rPr>
              <w:t>金额（元）</w:t>
            </w:r>
          </w:p>
        </w:tc>
      </w:tr>
      <w:tr>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pPr>
              <w:widowControl/>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家具</w:t>
            </w:r>
          </w:p>
        </w:tc>
        <w:tc>
          <w:tcPr>
            <w:tcW w:w="2205" w:type="dxa"/>
            <w:tcBorders>
              <w:top w:val="nil"/>
              <w:left w:val="nil"/>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sz w:val="24"/>
                <w:szCs w:val="24"/>
                <w:highlight w:val="none"/>
              </w:rPr>
              <w:t>1批</w:t>
            </w:r>
            <w:r>
              <w:rPr>
                <w:rFonts w:hint="eastAsia" w:ascii="宋体" w:hAnsi="宋体" w:cs="宋体"/>
                <w:color w:val="auto"/>
                <w:sz w:val="24"/>
                <w:szCs w:val="24"/>
                <w:highlight w:val="none"/>
                <w:lang w:bidi="ar"/>
              </w:rPr>
              <w:t>（详见附件</w:t>
            </w:r>
            <w:r>
              <w:rPr>
                <w:rFonts w:ascii="宋体" w:hAnsi="宋体" w:cs="宋体"/>
                <w:color w:val="auto"/>
                <w:sz w:val="24"/>
                <w:szCs w:val="24"/>
                <w:highlight w:val="none"/>
                <w:lang w:bidi="ar"/>
              </w:rPr>
              <w:t>1《</w:t>
            </w:r>
            <w:r>
              <w:rPr>
                <w:rFonts w:hint="eastAsia" w:ascii="宋体" w:hAnsi="宋体" w:cs="宋体"/>
                <w:color w:val="auto"/>
                <w:sz w:val="24"/>
                <w:szCs w:val="24"/>
                <w:highlight w:val="none"/>
                <w:lang w:bidi="ar"/>
              </w:rPr>
              <w:t>供货清单</w:t>
            </w:r>
            <w:r>
              <w:rPr>
                <w:rFonts w:ascii="宋体" w:hAnsi="宋体" w:cs="宋体"/>
                <w:color w:val="auto"/>
                <w:sz w:val="24"/>
                <w:szCs w:val="24"/>
                <w:highlight w:val="none"/>
                <w:lang w:bidi="ar"/>
              </w:rPr>
              <w:t>》</w:t>
            </w:r>
            <w:r>
              <w:rPr>
                <w:rFonts w:hint="eastAsia" w:ascii="宋体" w:hAnsi="宋体" w:cs="宋体"/>
                <w:color w:val="auto"/>
                <w:sz w:val="24"/>
                <w:szCs w:val="24"/>
                <w:highlight w:val="none"/>
                <w:lang w:bidi="ar"/>
              </w:rPr>
              <w:t>）</w:t>
            </w:r>
          </w:p>
        </w:tc>
        <w:tc>
          <w:tcPr>
            <w:tcW w:w="1321"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sz w:val="24"/>
                <w:szCs w:val="24"/>
                <w:highlight w:val="none"/>
              </w:rPr>
              <w:t>￥</w:t>
            </w:r>
          </w:p>
        </w:tc>
      </w:tr>
      <w:tr>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pPr>
              <w:widowControl/>
              <w:spacing w:line="360" w:lineRule="auto"/>
              <w:rPr>
                <w:rFonts w:hint="eastAsia"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其中货物采购费用占中标总价的97%（即￥元）通过本合同结算（即本合同总价为￥       元）。货物验收完成后的保修等售后服务费用占中标总价的3%（即       元）由使用单位与卖方另行签订服务合同单独结算，与本合同各自独立履行、互不影响。</w:t>
            </w:r>
            <w:r>
              <w:rPr>
                <w:rFonts w:ascii="宋体" w:hAnsi="宋体" w:cs="宋体"/>
                <w:bCs/>
                <w:color w:val="auto"/>
                <w:sz w:val="24"/>
                <w:szCs w:val="24"/>
                <w:highlight w:val="none"/>
              </w:rPr>
              <w:t>买方对中标总价的3%无付款义务。</w:t>
            </w:r>
          </w:p>
          <w:p>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pPr>
              <w:widowControl/>
              <w:spacing w:line="360" w:lineRule="auto"/>
              <w:rPr>
                <w:rFonts w:hint="eastAsia"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其中货物采购费用占中标总价的98.5%（即￥    元）通过本合同结算（即本合同总价为￥       元）。货物验收完成后的保修等售后服务费用占中标总价的1.5%（即         元）由使用单位与卖方另行签订服务合同单独结算，与本合同各自独立履行、互不影响。</w:t>
            </w:r>
            <w:r>
              <w:rPr>
                <w:rFonts w:ascii="宋体" w:hAnsi="宋体" w:cs="宋体"/>
                <w:bCs/>
                <w:color w:val="auto"/>
                <w:sz w:val="24"/>
                <w:szCs w:val="24"/>
                <w:highlight w:val="none"/>
              </w:rPr>
              <w:t>买方对中标总价的1.5%无付款义务。</w:t>
            </w:r>
          </w:p>
        </w:tc>
      </w:tr>
      <w:tr>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备注说明： 本项目使用单位（最终用户）：复旦大学附属中山医院厦门医院</w:t>
            </w:r>
            <w:r>
              <w:rPr>
                <w:rFonts w:hint="eastAsia" w:ascii="宋体" w:hAnsi="宋体" w:cs="宋体"/>
                <w:b/>
                <w:color w:val="auto"/>
                <w:sz w:val="24"/>
                <w:szCs w:val="24"/>
                <w:highlight w:val="none"/>
                <w:u w:val="single"/>
              </w:rPr>
              <w:t>。</w:t>
            </w:r>
          </w:p>
        </w:tc>
      </w:tr>
    </w:tbl>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2、交货</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2.3交付使用期: 合同签订之日起  个日历日内（含交货、安装）。</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2.4到货签收：卖方每批次供货到指定地点后，卖方应当组织最终用户对到货数量、型号等进行清点签收，并向买方提交最终用户签署的到货签收单原件。</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 xml:space="preserve">3、采购清单： </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4、付款条件、方式与履约保证金</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4.1付款条件</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卖方同意，待买方收到使用单位</w:t>
      </w:r>
      <w:r>
        <w:rPr>
          <w:rFonts w:hAnsi="宋体" w:cs="宋体"/>
          <w:color w:val="auto"/>
          <w:sz w:val="24"/>
          <w:szCs w:val="24"/>
          <w:highlight w:val="none"/>
        </w:rPr>
        <w:t>足额</w:t>
      </w:r>
      <w:r>
        <w:rPr>
          <w:rFonts w:hint="eastAsia" w:hAnsi="宋体" w:cs="宋体"/>
          <w:color w:val="auto"/>
          <w:sz w:val="24"/>
          <w:szCs w:val="24"/>
          <w:highlight w:val="none"/>
        </w:rPr>
        <w:t>货款后，买方按4.2约定向卖方付款。</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4.2付款方式</w:t>
      </w:r>
    </w:p>
    <w:p>
      <w:pPr>
        <w:tabs>
          <w:tab w:val="left" w:pos="5130"/>
        </w:tabs>
        <w:spacing w:line="360" w:lineRule="auto"/>
        <w:ind w:left="479" w:leftChars="228"/>
        <w:rPr>
          <w:rFonts w:hint="eastAsia" w:ascii="宋体" w:hAnsi="宋体" w:cs="宋体"/>
          <w:color w:val="auto"/>
          <w:sz w:val="24"/>
          <w:szCs w:val="24"/>
          <w:highlight w:val="none"/>
        </w:rPr>
      </w:pPr>
      <w:r>
        <w:rPr>
          <w:rFonts w:hint="eastAsia" w:ascii="宋体" w:hAnsi="宋体" w:cs="宋体"/>
          <w:color w:val="auto"/>
          <w:sz w:val="24"/>
          <w:szCs w:val="24"/>
          <w:highlight w:val="none"/>
        </w:rPr>
        <w:t>4.2.1合同签订后1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个工作日内，买方向卖方支付合同总价</w:t>
      </w:r>
      <w:r>
        <w:rPr>
          <w:rFonts w:hint="eastAsia" w:ascii="宋体" w:hAnsi="宋体" w:cs="宋体"/>
          <w:color w:val="auto"/>
          <w:sz w:val="24"/>
          <w:szCs w:val="24"/>
          <w:highlight w:val="none"/>
          <w:lang w:val="en-US" w:eastAsia="zh-CN"/>
        </w:rPr>
        <w:t>90</w:t>
      </w:r>
      <w:r>
        <w:rPr>
          <w:rFonts w:hint="eastAsia" w:ascii="宋体" w:hAnsi="宋体" w:cs="宋体"/>
          <w:color w:val="auto"/>
          <w:sz w:val="24"/>
          <w:szCs w:val="24"/>
          <w:highlight w:val="none"/>
        </w:rPr>
        <w:t>%的预付款。</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kern w:val="0"/>
          <w:sz w:val="24"/>
          <w:szCs w:val="24"/>
          <w:highlight w:val="none"/>
        </w:rPr>
        <w:t>4.2.2</w:t>
      </w:r>
      <w:r>
        <w:rPr>
          <w:rFonts w:hint="eastAsia" w:ascii="宋体" w:hAnsi="宋体" w:cs="宋体"/>
          <w:color w:val="auto"/>
          <w:sz w:val="24"/>
          <w:szCs w:val="24"/>
          <w:highlight w:val="none"/>
        </w:rPr>
        <w:t>卖方供货安装、调试完毕，最终用户验收合格后，卖方开具合同总价100%的正规发票（即中标金额的97%）、《</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和全部货物清单给买方，买方收到最终用户货款后凭发票及验收报告，买方在1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个工作日内向卖方支付本合同总价100%的款项（即中标金额的97%）。</w:t>
      </w:r>
    </w:p>
    <w:p>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4.1付款条件</w:t>
      </w:r>
    </w:p>
    <w:p>
      <w:pPr>
        <w:pStyle w:val="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卖方同意，待买方收到使用单位</w:t>
      </w:r>
      <w:r>
        <w:rPr>
          <w:rFonts w:hAnsi="宋体" w:cs="宋体"/>
          <w:color w:val="auto"/>
          <w:sz w:val="24"/>
          <w:szCs w:val="24"/>
          <w:highlight w:val="none"/>
        </w:rPr>
        <w:t>足额</w:t>
      </w:r>
      <w:r>
        <w:rPr>
          <w:rFonts w:hint="eastAsia" w:hAnsi="宋体" w:cs="宋体"/>
          <w:color w:val="auto"/>
          <w:sz w:val="24"/>
          <w:szCs w:val="24"/>
          <w:highlight w:val="none"/>
        </w:rPr>
        <w:t>货款后，买方按4.2约定向卖方付款。</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4.2付款方式</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4.2.1合同签订后1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个工作日内，买方向卖方支付合同总价</w:t>
      </w:r>
      <w:r>
        <w:rPr>
          <w:rFonts w:hint="eastAsia" w:ascii="宋体" w:hAnsi="宋体" w:cs="宋体"/>
          <w:color w:val="auto"/>
          <w:sz w:val="24"/>
          <w:szCs w:val="24"/>
          <w:highlight w:val="none"/>
          <w:lang w:val="en-US" w:eastAsia="zh-CN"/>
        </w:rPr>
        <w:t>90</w:t>
      </w:r>
      <w:r>
        <w:rPr>
          <w:rFonts w:hint="eastAsia" w:ascii="宋体" w:hAnsi="宋体" w:cs="宋体"/>
          <w:color w:val="auto"/>
          <w:sz w:val="24"/>
          <w:szCs w:val="24"/>
          <w:highlight w:val="none"/>
        </w:rPr>
        <w:t>%的预付款。</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4.2.2卖方供货安装、调试完毕，最终用户验收合格后，卖方开具合同总价100%的正规发票（即中标金额的98.5%）、《</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和全部货物清单给买方，买方收到最终用户货款后凭发票及验收报告，买方在1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个工作日内向卖方支付本合同总价100%的款项（即中标金额的98.5%）。</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5、技术资料：</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6、验收</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6.5买方根据本合同约定提出换货、退货或解除合同的，卖方应在收到买方或使用单位通知后3个工作日内自行收回不符合合同约定的货物，并承担相应费用。</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7、售后服务</w:t>
      </w:r>
    </w:p>
    <w:p>
      <w:pPr>
        <w:tabs>
          <w:tab w:val="left" w:pos="0"/>
        </w:tabs>
        <w:adjustRightIn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货物验收后的维修等售后服务由卖方直接向最终用户提供，卖方应就货物售后服务与最终用户另行签订相应服务合同，买方不向最终用户承担售后服务义务。</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8、知识产权</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9、违约责任</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9.1卖方未能按时交货或未能按时交付使用的，每逾期一日，卖方应支付逾期交货货款1‰的违约金。逾期超过10个日历日，买方有权单方解除本合同，卖方应另外支付合同总价20％的违约金。</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9.7除本合同另有约定外，在买方发出的违约通知后30天内仍未纠正其任何一种违约行为，买方有权单方解除本合同，卖方除应退还买方已支付的款项外，还应向买方支付合同总价20％的违约金。</w:t>
      </w:r>
    </w:p>
    <w:p>
      <w:pPr>
        <w:spacing w:line="360" w:lineRule="auto"/>
        <w:ind w:firstLine="460" w:firstLineChars="192"/>
        <w:rPr>
          <w:rFonts w:hint="eastAsia"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9.8本合同约定的违约金无法弥补买方损失的，卖方应继续承担相应的赔偿责任。买方有权直接从未付的款项中扣除卖方根据本合同约定应付未付的违约金、赔偿金等。</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10、不可抗力</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spacing w:line="360" w:lineRule="auto"/>
        <w:ind w:firstLine="470" w:firstLineChars="196"/>
        <w:rPr>
          <w:rFonts w:hint="eastAsia"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pPr>
        <w:spacing w:line="360" w:lineRule="auto"/>
        <w:ind w:firstLine="470" w:firstLineChars="196"/>
        <w:rPr>
          <w:rFonts w:hint="eastAsia"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pPr>
        <w:spacing w:line="360" w:lineRule="auto"/>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ascii="宋体" w:hAnsi="宋体" w:cs="宋体"/>
          <w:color w:val="auto"/>
          <w:sz w:val="24"/>
          <w:szCs w:val="24"/>
          <w:highlight w:val="none"/>
        </w:rPr>
        <w:t>合同履行</w:t>
      </w:r>
      <w:r>
        <w:rPr>
          <w:rFonts w:hint="eastAsia" w:ascii="宋体" w:hAnsi="宋体" w:cs="宋体"/>
          <w:color w:val="auto"/>
          <w:sz w:val="24"/>
          <w:szCs w:val="24"/>
          <w:highlight w:val="none"/>
        </w:rPr>
        <w:t>地</w:t>
      </w:r>
      <w:r>
        <w:rPr>
          <w:rFonts w:ascii="宋体" w:hAnsi="宋体" w:cs="宋体"/>
          <w:color w:val="auto"/>
          <w:sz w:val="24"/>
          <w:szCs w:val="24"/>
          <w:highlight w:val="none"/>
        </w:rPr>
        <w:t>（交货地）</w:t>
      </w:r>
      <w:r>
        <w:rPr>
          <w:rFonts w:hint="eastAsia" w:ascii="宋体" w:hAnsi="宋体" w:cs="宋体"/>
          <w:color w:val="auto"/>
          <w:sz w:val="24"/>
          <w:szCs w:val="24"/>
          <w:highlight w:val="none"/>
        </w:rPr>
        <w:t>人民法院提起诉讼。</w:t>
      </w:r>
    </w:p>
    <w:p>
      <w:pPr>
        <w:spacing w:line="360" w:lineRule="auto"/>
        <w:rPr>
          <w:rFonts w:hint="eastAsia"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12.2卖方同意，由卖方依据与最终用户的服务协议直接向最终用户履行保修等售后服务义务。</w:t>
      </w:r>
    </w:p>
    <w:p>
      <w:pPr>
        <w:widowControl/>
        <w:spacing w:line="360" w:lineRule="auto"/>
        <w:ind w:firstLine="600" w:firstLineChars="250"/>
        <w:jc w:val="left"/>
        <w:rPr>
          <w:rFonts w:hint="eastAsia" w:ascii="宋体" w:hAnsi="宋体" w:cs="宋体"/>
          <w:color w:val="auto"/>
          <w:sz w:val="24"/>
          <w:szCs w:val="24"/>
          <w:highlight w:val="none"/>
          <w:lang w:bidi="ar"/>
        </w:rPr>
      </w:pPr>
      <w:r>
        <w:rPr>
          <w:rFonts w:hint="eastAsia" w:ascii="宋体" w:hAnsi="宋体" w:cs="宋体"/>
          <w:color w:val="auto"/>
          <w:sz w:val="24"/>
          <w:szCs w:val="24"/>
          <w:highlight w:val="none"/>
        </w:rPr>
        <w:t>12.3</w:t>
      </w:r>
      <w:r>
        <w:rPr>
          <w:rFonts w:hint="eastAsia" w:ascii="宋体" w:hAnsi="宋体" w:cs="宋体"/>
          <w:color w:val="auto"/>
          <w:sz w:val="24"/>
          <w:szCs w:val="24"/>
          <w:highlight w:val="none"/>
          <w:lang w:bidi="ar"/>
        </w:rPr>
        <w:t>本项目的下述文件均为本合同不可分割的一部分，且应当互为解释；存在不一致时，应按下列顺序优先解释：</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（1）采购合同;</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（2）买卖合同;</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（3）招标文件及补充规定;</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（4）投标文件及澄清说明。</w:t>
      </w:r>
    </w:p>
    <w:p>
      <w:pPr>
        <w:spacing w:line="360" w:lineRule="auto"/>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12.4本合同经双方签订之日起生效。一式伍份，买方贰份，卖方贰份，送厦门市财政局政府采购监管处备案壹份，具有同等法律效力。</w:t>
      </w:r>
    </w:p>
    <w:p>
      <w:pPr>
        <w:spacing w:line="360" w:lineRule="auto"/>
        <w:jc w:val="center"/>
        <w:rPr>
          <w:rFonts w:hint="eastAsia" w:ascii="宋体" w:hAnsi="宋体"/>
          <w:color w:val="auto"/>
          <w:sz w:val="24"/>
          <w:szCs w:val="24"/>
          <w:highlight w:val="none"/>
        </w:rPr>
      </w:pPr>
      <w:r>
        <w:rPr>
          <w:rFonts w:hint="eastAsia" w:ascii="宋体" w:hAnsi="宋体" w:cs="宋体"/>
          <w:color w:val="auto"/>
          <w:sz w:val="24"/>
          <w:szCs w:val="24"/>
          <w:highlight w:val="none"/>
          <w:lang w:bidi="ar"/>
        </w:rPr>
        <w:t>（以下无正文）</w:t>
      </w:r>
    </w:p>
    <w:tbl>
      <w:tblPr>
        <w:tblStyle w:val="12"/>
        <w:tblW w:w="4998" w:type="pct"/>
        <w:jc w:val="center"/>
        <w:tblLayout w:type="autofit"/>
        <w:tblCellMar>
          <w:top w:w="0" w:type="dxa"/>
          <w:left w:w="108" w:type="dxa"/>
          <w:bottom w:w="0" w:type="dxa"/>
          <w:right w:w="108" w:type="dxa"/>
        </w:tblCellMar>
      </w:tblPr>
      <w:tblGrid>
        <w:gridCol w:w="1314"/>
        <w:gridCol w:w="2845"/>
        <w:gridCol w:w="1353"/>
        <w:gridCol w:w="3007"/>
      </w:tblGrid>
      <w:tr>
        <w:trPr>
          <w:trHeight w:val="438"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买</w:t>
            </w:r>
            <w:r>
              <w:rPr>
                <w:rFonts w:hint="eastAsia" w:cs="Times New Roman"/>
                <w:b/>
                <w:bCs/>
                <w:color w:val="auto"/>
                <w:kern w:val="2"/>
                <w:highlight w:val="none"/>
                <w:lang w:bidi="ar"/>
              </w:rPr>
              <w:t xml:space="preserve"> </w:t>
            </w:r>
            <w:r>
              <w:rPr>
                <w:rFonts w:hint="eastAsia"/>
                <w:b/>
                <w:bCs/>
                <w:color w:val="auto"/>
                <w:kern w:val="2"/>
                <w:highlight w:val="none"/>
                <w:lang w:bidi="ar"/>
              </w:rPr>
              <w:t xml:space="preserve">  方</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r>
              <w:rPr>
                <w:rFonts w:hint="eastAsia"/>
                <w:color w:val="auto"/>
                <w:highlight w:val="none"/>
              </w:rPr>
              <w:t>厦门万翔网络商务有限公司</w:t>
            </w: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卖</w:t>
            </w:r>
            <w:r>
              <w:rPr>
                <w:rFonts w:hint="eastAsia" w:cs="Times New Roman"/>
                <w:b/>
                <w:bCs/>
                <w:color w:val="auto"/>
                <w:kern w:val="2"/>
                <w:highlight w:val="none"/>
                <w:lang w:bidi="ar"/>
              </w:rPr>
              <w:t xml:space="preserve"> </w:t>
            </w:r>
            <w:r>
              <w:rPr>
                <w:rFonts w:hint="eastAsia"/>
                <w:b/>
                <w:bCs/>
                <w:color w:val="auto"/>
                <w:kern w:val="2"/>
                <w:highlight w:val="none"/>
                <w:lang w:bidi="ar"/>
              </w:rPr>
              <w:t xml:space="preserve">  方</w:t>
            </w:r>
          </w:p>
        </w:tc>
        <w:tc>
          <w:tcPr>
            <w:tcW w:w="176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r>
      <w:tr>
        <w:tblPrEx>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单位地址</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r>
              <w:rPr>
                <w:rFonts w:hint="eastAsia"/>
                <w:color w:val="auto"/>
                <w:highlight w:val="none"/>
              </w:rPr>
              <w:t xml:space="preserve">厦门市湖里区机场北路476号 </w:t>
            </w: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r>
      <w:tr>
        <w:tblPrEx>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b/>
                <w:bCs/>
                <w:color w:val="auto"/>
                <w:kern w:val="2"/>
                <w:highlight w:val="none"/>
              </w:rPr>
            </w:pPr>
            <w:r>
              <w:rPr>
                <w:rFonts w:hint="eastAsia"/>
                <w:b/>
                <w:bCs/>
                <w:color w:val="auto"/>
                <w:kern w:val="2"/>
                <w:highlight w:val="none"/>
                <w:lang w:bidi="ar"/>
              </w:rPr>
              <w:t>法定代表人</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b/>
                <w:bCs/>
                <w:color w:val="auto"/>
                <w:kern w:val="2"/>
                <w:highlight w:val="none"/>
              </w:rPr>
            </w:pPr>
            <w:r>
              <w:rPr>
                <w:rFonts w:hint="eastAsia"/>
                <w:b/>
                <w:bCs/>
                <w:color w:val="auto"/>
                <w:kern w:val="2"/>
                <w:highlight w:val="none"/>
                <w:lang w:bidi="ar"/>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r>
      <w:tr>
        <w:tblPrEx>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签字代表</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r>
      <w:tr>
        <w:tblPrEx>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电</w:t>
            </w:r>
            <w:r>
              <w:rPr>
                <w:rFonts w:hint="eastAsia" w:cs="Times New Roman"/>
                <w:b/>
                <w:bCs/>
                <w:color w:val="auto"/>
                <w:kern w:val="2"/>
                <w:highlight w:val="none"/>
                <w:lang w:bidi="ar"/>
              </w:rPr>
              <w:t xml:space="preserve"> </w:t>
            </w:r>
            <w:r>
              <w:rPr>
                <w:rFonts w:hint="eastAsia"/>
                <w:b/>
                <w:bCs/>
                <w:color w:val="auto"/>
                <w:kern w:val="2"/>
                <w:highlight w:val="none"/>
                <w:lang w:bidi="ar"/>
              </w:rPr>
              <w:t xml:space="preserve">   话</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电</w:t>
            </w:r>
            <w:r>
              <w:rPr>
                <w:rFonts w:hint="eastAsia" w:cs="Times New Roman"/>
                <w:b/>
                <w:bCs/>
                <w:color w:val="auto"/>
                <w:kern w:val="2"/>
                <w:highlight w:val="none"/>
                <w:lang w:bidi="ar"/>
              </w:rPr>
              <w:t xml:space="preserve"> </w:t>
            </w:r>
            <w:r>
              <w:rPr>
                <w:rFonts w:hint="eastAsia"/>
                <w:b/>
                <w:bCs/>
                <w:color w:val="auto"/>
                <w:kern w:val="2"/>
                <w:highlight w:val="none"/>
                <w:lang w:bidi="ar"/>
              </w:rPr>
              <w:t xml:space="preserve">  话</w:t>
            </w:r>
          </w:p>
        </w:tc>
        <w:tc>
          <w:tcPr>
            <w:tcW w:w="176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p>
        </w:tc>
      </w:tr>
      <w:tr>
        <w:tblPrEx>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b/>
                <w:bCs/>
                <w:color w:val="auto"/>
                <w:kern w:val="2"/>
                <w:highlight w:val="none"/>
              </w:rPr>
            </w:pPr>
            <w:r>
              <w:rPr>
                <w:rFonts w:hint="eastAsia"/>
                <w:b/>
                <w:bCs/>
                <w:color w:val="auto"/>
                <w:kern w:val="2"/>
                <w:highlight w:val="none"/>
                <w:lang w:bidi="ar"/>
              </w:rPr>
              <w:t>开户行</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s="Times New Roman"/>
                <w:color w:val="auto"/>
                <w:highlight w:val="none"/>
              </w:rPr>
            </w:pPr>
            <w:r>
              <w:rPr>
                <w:rFonts w:hint="eastAsia"/>
                <w:color w:val="auto"/>
                <w:highlight w:val="none"/>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b/>
                <w:bCs/>
                <w:color w:val="auto"/>
                <w:kern w:val="2"/>
                <w:highlight w:val="none"/>
              </w:rPr>
            </w:pPr>
            <w:r>
              <w:rPr>
                <w:rFonts w:hint="eastAsia"/>
                <w:b/>
                <w:bCs/>
                <w:color w:val="auto"/>
                <w:kern w:val="2"/>
                <w:highlight w:val="none"/>
                <w:lang w:bidi="ar"/>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color w:val="auto"/>
                <w:kern w:val="0"/>
                <w:sz w:val="24"/>
                <w:szCs w:val="24"/>
                <w:highlight w:val="none"/>
              </w:rPr>
            </w:pPr>
          </w:p>
        </w:tc>
      </w:tr>
      <w:tr>
        <w:tblPrEx>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olor w:val="auto"/>
                <w:kern w:val="2"/>
                <w:highlight w:val="none"/>
              </w:rPr>
            </w:pPr>
            <w:r>
              <w:rPr>
                <w:rFonts w:hint="eastAsia"/>
                <w:color w:val="auto"/>
                <w:kern w:val="2"/>
                <w:highlight w:val="none"/>
                <w:lang w:bidi="ar"/>
              </w:rPr>
              <w:t>账  号</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rPr>
                <w:rFonts w:hint="eastAsia"/>
                <w:color w:val="auto"/>
                <w:kern w:val="2"/>
                <w:highlight w:val="none"/>
              </w:rPr>
            </w:pPr>
            <w:r>
              <w:rPr>
                <w:rFonts w:hint="eastAsia"/>
                <w:color w:val="auto"/>
                <w:highlight w:val="none"/>
              </w:rPr>
              <w:t xml:space="preserve">35101570201052503924  </w:t>
            </w: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b/>
                <w:bCs/>
                <w:color w:val="auto"/>
                <w:kern w:val="2"/>
                <w:highlight w:val="none"/>
              </w:rPr>
            </w:pPr>
            <w:r>
              <w:rPr>
                <w:rFonts w:hint="eastAsia"/>
                <w:b/>
                <w:bCs/>
                <w:color w:val="auto"/>
                <w:spacing w:val="20"/>
                <w:highlight w:val="none"/>
                <w:lang w:bidi="ar"/>
              </w:rPr>
              <w:t>账</w:t>
            </w:r>
            <w:r>
              <w:rPr>
                <w:rFonts w:hint="eastAsia" w:cs="Times New Roman"/>
                <w:b/>
                <w:bCs/>
                <w:color w:val="auto"/>
                <w:spacing w:val="20"/>
                <w:highlight w:val="none"/>
                <w:lang w:bidi="ar"/>
              </w:rPr>
              <w:t xml:space="preserve"> </w:t>
            </w:r>
            <w:r>
              <w:rPr>
                <w:rFonts w:hint="eastAsia"/>
                <w:b/>
                <w:bCs/>
                <w:color w:val="auto"/>
                <w:spacing w:val="20"/>
                <w:highlight w:val="none"/>
                <w:lang w:bidi="ar"/>
              </w:rPr>
              <w:t xml:space="preserve"> 号</w:t>
            </w:r>
          </w:p>
        </w:tc>
        <w:tc>
          <w:tcPr>
            <w:tcW w:w="1764" w:type="pct"/>
            <w:tcBorders>
              <w:top w:val="single" w:color="auto" w:sz="4" w:space="0"/>
              <w:left w:val="nil"/>
              <w:bottom w:val="single" w:color="auto" w:sz="4" w:space="0"/>
              <w:right w:val="single" w:color="auto" w:sz="4" w:space="0"/>
            </w:tcBorders>
            <w:shd w:val="clear" w:color="auto" w:fill="auto"/>
            <w:vAlign w:val="center"/>
          </w:tcPr>
          <w:p>
            <w:pPr>
              <w:spacing w:line="360" w:lineRule="auto"/>
              <w:jc w:val="left"/>
              <w:rPr>
                <w:rFonts w:hint="eastAsia" w:ascii="宋体" w:hAnsi="宋体"/>
                <w:color w:val="auto"/>
                <w:kern w:val="0"/>
                <w:sz w:val="24"/>
                <w:szCs w:val="24"/>
                <w:highlight w:val="none"/>
              </w:rPr>
            </w:pPr>
          </w:p>
        </w:tc>
      </w:tr>
      <w:tr>
        <w:tblPrEx>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签订日期</w:t>
            </w:r>
          </w:p>
        </w:tc>
        <w:tc>
          <w:tcPr>
            <w:tcW w:w="1669"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rPr>
                <w:rFonts w:hint="eastAsia" w:cs="Times New Roman"/>
                <w:color w:val="auto"/>
                <w:kern w:val="2"/>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jc w:val="center"/>
              <w:rPr>
                <w:rFonts w:hint="eastAsia" w:cs="Times New Roman"/>
                <w:color w:val="auto"/>
                <w:kern w:val="2"/>
                <w:highlight w:val="none"/>
              </w:rPr>
            </w:pPr>
            <w:r>
              <w:rPr>
                <w:rFonts w:hint="eastAsia"/>
                <w:b/>
                <w:bCs/>
                <w:color w:val="auto"/>
                <w:kern w:val="2"/>
                <w:highlight w:val="none"/>
                <w:lang w:bidi="ar"/>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pPr>
              <w:pStyle w:val="9"/>
              <w:widowControl w:val="0"/>
              <w:snapToGrid w:val="0"/>
              <w:spacing w:before="0" w:beforeAutospacing="0" w:after="0" w:afterAutospacing="0" w:line="360" w:lineRule="auto"/>
              <w:rPr>
                <w:rFonts w:hint="eastAsia" w:cs="Times New Roman"/>
                <w:color w:val="auto"/>
                <w:kern w:val="2"/>
                <w:highlight w:val="none"/>
              </w:rPr>
            </w:pPr>
          </w:p>
        </w:tc>
      </w:tr>
    </w:tbl>
    <w:p>
      <w:pPr>
        <w:widowControl/>
        <w:ind w:left="-850" w:leftChars="-405" w:firstLine="720" w:firstLineChars="300"/>
        <w:rPr>
          <w:rFonts w:hint="eastAsia" w:ascii="宋体" w:hAnsi="宋体" w:cs="宋体"/>
          <w:color w:val="auto"/>
          <w:sz w:val="24"/>
          <w:szCs w:val="24"/>
          <w:highlight w:val="none"/>
        </w:rPr>
      </w:pPr>
      <w:r>
        <w:rPr>
          <w:rFonts w:ascii="宋体" w:hAnsi="宋体" w:cs="宋体"/>
          <w:color w:val="auto"/>
          <w:sz w:val="24"/>
          <w:szCs w:val="24"/>
          <w:highlight w:val="none"/>
        </w:rPr>
        <w:t>附件1：供货清单</w:t>
      </w:r>
    </w:p>
    <w:p>
      <w:pPr>
        <w:pStyle w:val="9"/>
        <w:widowControl w:val="0"/>
        <w:spacing w:before="0" w:beforeAutospacing="0" w:after="0" w:afterAutospacing="0"/>
        <w:jc w:val="both"/>
        <w:textAlignment w:val="baseline"/>
        <w:rPr>
          <w:rFonts w:hint="eastAsia" w:eastAsia="等线"/>
          <w:color w:val="auto"/>
          <w:kern w:val="2"/>
          <w:highlight w:val="none"/>
        </w:rPr>
      </w:pPr>
      <w:r>
        <w:rPr>
          <w:rFonts w:eastAsia="等线"/>
          <w:color w:val="auto"/>
          <w:kern w:val="2"/>
          <w:highlight w:val="none"/>
          <w:lang w:bidi="ar"/>
        </w:rPr>
        <w:t xml:space="preserve"> </w:t>
      </w:r>
    </w:p>
    <w:tbl>
      <w:tblPr>
        <w:tblStyle w:val="13"/>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名</w:t>
            </w:r>
            <w:r>
              <w:rPr>
                <w:rFonts w:ascii="华文楷体" w:hAnsi="华文楷体" w:eastAsia="华文楷体"/>
                <w:b/>
                <w:color w:val="auto"/>
                <w:sz w:val="24"/>
                <w:szCs w:val="24"/>
                <w:highlight w:val="none"/>
              </w:rPr>
              <w:t xml:space="preserve"> </w:t>
            </w:r>
            <w:r>
              <w:rPr>
                <w:rFonts w:ascii="华文楷体" w:hAnsi="华文楷体" w:eastAsia="华文楷体" w:cs="华文楷体"/>
                <w:b/>
                <w:color w:val="auto"/>
                <w:sz w:val="24"/>
                <w:szCs w:val="24"/>
                <w:highlight w:val="none"/>
              </w:rPr>
              <w:t xml:space="preserve"> 称</w:t>
            </w: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数量</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制造商</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规 格</w:t>
            </w:r>
            <w:r>
              <w:rPr>
                <w:rFonts w:ascii="华文楷体" w:hAnsi="华文楷体" w:eastAsia="华文楷体"/>
                <w:b/>
                <w:color w:val="auto"/>
                <w:sz w:val="24"/>
                <w:szCs w:val="24"/>
                <w:highlight w:val="none"/>
              </w:rPr>
              <w:t xml:space="preserve"> </w:t>
            </w:r>
            <w:r>
              <w:rPr>
                <w:rFonts w:ascii="华文楷体" w:hAnsi="华文楷体" w:eastAsia="华文楷体" w:cs="华文楷体"/>
                <w:b/>
                <w:color w:val="auto"/>
                <w:sz w:val="24"/>
                <w:szCs w:val="24"/>
                <w:highlight w:val="none"/>
              </w:rPr>
              <w:t>型</w:t>
            </w:r>
            <w:r>
              <w:rPr>
                <w:rFonts w:ascii="华文楷体" w:hAnsi="华文楷体" w:eastAsia="华文楷体"/>
                <w:b/>
                <w:color w:val="auto"/>
                <w:sz w:val="24"/>
                <w:szCs w:val="24"/>
                <w:highlight w:val="none"/>
              </w:rPr>
              <w:t xml:space="preserve"> </w:t>
            </w:r>
            <w:r>
              <w:rPr>
                <w:rFonts w:ascii="华文楷体" w:hAnsi="华文楷体" w:eastAsia="华文楷体" w:cs="华文楷体"/>
                <w:b/>
                <w:color w:val="auto"/>
                <w:sz w:val="24"/>
                <w:szCs w:val="24"/>
                <w:highlight w:val="none"/>
              </w:rPr>
              <w:t>号</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shd w:val="clear" w:color="auto" w:fill="auto"/>
          </w:tcPr>
          <w:p>
            <w:pPr>
              <w:pStyle w:val="19"/>
              <w:widowControl w:val="0"/>
              <w:spacing w:line="460" w:lineRule="exact"/>
              <w:jc w:val="center"/>
              <w:rPr>
                <w:rFonts w:hint="eastAsia"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ind w:firstLine="480" w:firstLineChars="200"/>
              <w:rPr>
                <w:rFonts w:hint="eastAsia"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宋体"/>
                <w:b/>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spacing w:line="460" w:lineRule="exact"/>
              <w:rPr>
                <w:rFonts w:hint="eastAsia" w:ascii="华文楷体" w:hAnsi="华文楷体" w:eastAsia="华文楷体" w:cs="华文楷体"/>
                <w:b/>
                <w:color w:val="auto"/>
                <w:kern w:val="0"/>
                <w:sz w:val="24"/>
                <w:szCs w:val="24"/>
                <w:highlight w:val="none"/>
              </w:rPr>
            </w:pPr>
            <w:r>
              <w:rPr>
                <w:rFonts w:ascii="华文楷体" w:hAnsi="华文楷体" w:eastAsia="华文楷体" w:cs="华文楷体"/>
                <w:b/>
                <w:color w:val="auto"/>
                <w:kern w:val="0"/>
                <w:sz w:val="24"/>
                <w:szCs w:val="24"/>
                <w:highlight w:val="none"/>
                <w:lang w:bidi="ar"/>
              </w:rPr>
              <w:t>合计（元）：</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华文楷体" w:hAnsi="华文楷体" w:eastAsia="华文楷体" w:cs="华文楷体"/>
                <w:b/>
                <w:color w:val="auto"/>
                <w:kern w:val="0"/>
                <w:sz w:val="24"/>
                <w:szCs w:val="24"/>
                <w:highlight w:val="none"/>
              </w:rPr>
            </w:pPr>
          </w:p>
        </w:tc>
      </w:tr>
    </w:tbl>
    <w:p>
      <w:pPr>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sectPr>
          <w:headerReference r:id="rId10" w:type="default"/>
          <w:footerReference r:id="rId11" w:type="default"/>
          <w:pgSz w:w="11906" w:h="16838"/>
          <w:pgMar w:top="1440" w:right="1800" w:bottom="1440" w:left="1800" w:header="851" w:footer="992" w:gutter="0"/>
          <w:cols w:space="720" w:num="1"/>
          <w:docGrid w:type="lines" w:linePitch="312" w:charSpace="0"/>
        </w:sectPr>
      </w:pPr>
    </w:p>
    <w:p>
      <w:pPr>
        <w:spacing w:line="360" w:lineRule="auto"/>
        <w:rPr>
          <w:rFonts w:hint="eastAsia" w:ascii="宋体" w:hAnsi="宋体" w:cs="宋体"/>
          <w:color w:val="auto"/>
          <w:sz w:val="24"/>
          <w:szCs w:val="24"/>
          <w:highlight w:val="none"/>
        </w:rPr>
      </w:pPr>
      <w:r>
        <w:rPr>
          <w:rFonts w:ascii="宋体" w:hAnsi="宋体" w:cs="宋体"/>
          <w:color w:val="auto"/>
          <w:sz w:val="24"/>
          <w:szCs w:val="24"/>
          <w:highlight w:val="none"/>
        </w:rPr>
        <w:t>附件2：</w:t>
      </w:r>
      <w:r>
        <w:rPr>
          <w:rFonts w:hint="eastAsia" w:ascii="宋体" w:hAnsi="宋体" w:cs="宋体"/>
          <w:color w:val="auto"/>
          <w:sz w:val="24"/>
          <w:szCs w:val="24"/>
          <w:highlight w:val="none"/>
        </w:rPr>
        <w:t>《</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p>
    <w:p>
      <w:pPr>
        <w:spacing w:line="360" w:lineRule="auto"/>
        <w:rPr>
          <w:rFonts w:hint="eastAsia" w:ascii="宋体" w:hAnsi="宋体" w:cs="宋体"/>
          <w:color w:val="auto"/>
          <w:sz w:val="24"/>
          <w:szCs w:val="24"/>
          <w:highlight w:val="none"/>
        </w:rPr>
      </w:pPr>
      <w:r>
        <w:rPr>
          <w:rFonts w:ascii="宋体" w:hAnsi="宋体" w:cs="宋体"/>
          <w:b/>
          <w:bCs/>
          <w:color w:val="auto"/>
          <w:sz w:val="24"/>
          <w:szCs w:val="24"/>
          <w:highlight w:val="none"/>
        </w:rPr>
        <w:drawing>
          <wp:inline distT="0" distB="0" distL="114300" distR="114300">
            <wp:extent cx="5271770" cy="7526655"/>
            <wp:effectExtent l="0" t="0" r="1143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271770" cy="7526655"/>
                    </a:xfrm>
                    <a:prstGeom prst="rect">
                      <a:avLst/>
                    </a:prstGeom>
                  </pic:spPr>
                </pic:pic>
              </a:graphicData>
            </a:graphic>
          </wp:inline>
        </w:drawing>
      </w:r>
    </w:p>
    <w:p>
      <w:pPr>
        <w:spacing w:line="360" w:lineRule="auto"/>
        <w:jc w:val="center"/>
        <w:rPr>
          <w:rFonts w:hint="eastAsia" w:ascii="宋体" w:hAnsi="宋体" w:cs="宋体"/>
          <w:b/>
          <w:bCs/>
          <w:color w:val="auto"/>
          <w:sz w:val="24"/>
          <w:szCs w:val="24"/>
          <w:highlight w:val="none"/>
        </w:rPr>
      </w:pPr>
    </w:p>
    <w:p>
      <w:pPr>
        <w:spacing w:line="360" w:lineRule="auto"/>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pPr>
    </w:p>
    <w:p>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XM2024—DZ004</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买卖合同</w:t>
      </w:r>
    </w:p>
    <w:p>
      <w:pPr>
        <w:spacing w:line="360" w:lineRule="auto"/>
        <w:ind w:right="480"/>
        <w:jc w:val="center"/>
        <w:rPr>
          <w:rFonts w:hint="eastAsia" w:ascii="宋体" w:hAnsi="宋体" w:cs="宋体"/>
          <w:color w:val="auto"/>
          <w:sz w:val="24"/>
          <w:szCs w:val="24"/>
          <w:highlight w:val="none"/>
        </w:rPr>
      </w:pPr>
    </w:p>
    <w:p>
      <w:pPr>
        <w:spacing w:line="360" w:lineRule="auto"/>
        <w:ind w:right="480" w:firstLine="480" w:firstLineChars="200"/>
        <w:jc w:val="center"/>
        <w:rPr>
          <w:rFonts w:hint="eastAsia"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买方：</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卖方：厦门万翔网络商务有限公司</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买方委托卖方采购家具，现根据项目编号:</w:t>
      </w:r>
      <w:r>
        <w:rPr>
          <w:rFonts w:hint="eastAsia" w:ascii="宋体" w:hAnsi="宋体" w:cs="宋体"/>
          <w:color w:val="auto"/>
          <w:sz w:val="24"/>
          <w:szCs w:val="24"/>
          <w:highlight w:val="none"/>
          <w:u w:val="single"/>
        </w:rPr>
        <w:t>XM2024-DZ0043</w:t>
      </w:r>
      <w:r>
        <w:rPr>
          <w:rFonts w:hint="eastAsia" w:ascii="宋体" w:hAnsi="宋体" w:cs="宋体"/>
          <w:color w:val="auto"/>
          <w:sz w:val="24"/>
          <w:szCs w:val="24"/>
          <w:highlight w:val="none"/>
        </w:rPr>
        <w:t>的招标（采购）文件、投标（报价）文件以及评审结果通知书（中标/成交供应商为：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），买卖双方经协商一致，就卖方将从中标/成交供应商处采购的货物出售给买方、并约定由中标/成交供应商直接向买方履行安装及售后服务等义务，特制定本合同，以资共同遵守：</w:t>
      </w:r>
    </w:p>
    <w:p>
      <w:pPr>
        <w:tabs>
          <w:tab w:val="left" w:pos="315"/>
        </w:tabs>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1、合同标的物和价格（详见附件）</w:t>
      </w:r>
    </w:p>
    <w:tbl>
      <w:tblPr>
        <w:tblStyle w:val="12"/>
        <w:tblW w:w="8936" w:type="dxa"/>
        <w:tblInd w:w="103" w:type="dxa"/>
        <w:tblLayout w:type="fixed"/>
        <w:tblCellMar>
          <w:top w:w="0" w:type="dxa"/>
          <w:left w:w="108" w:type="dxa"/>
          <w:bottom w:w="0" w:type="dxa"/>
          <w:right w:w="108" w:type="dxa"/>
        </w:tblCellMar>
      </w:tblPr>
      <w:tblGrid>
        <w:gridCol w:w="864"/>
        <w:gridCol w:w="1667"/>
        <w:gridCol w:w="2166"/>
        <w:gridCol w:w="1834"/>
        <w:gridCol w:w="2405"/>
      </w:tblGrid>
      <w:tr>
        <w:tblPrEx>
          <w:tblCellMar>
            <w:top w:w="0" w:type="dxa"/>
            <w:left w:w="108" w:type="dxa"/>
            <w:bottom w:w="0" w:type="dxa"/>
            <w:right w:w="108" w:type="dxa"/>
          </w:tblCellMar>
        </w:tblPrEx>
        <w:trPr>
          <w:trHeight w:val="615" w:hRule="atLeast"/>
        </w:trPr>
        <w:tc>
          <w:tcPr>
            <w:tcW w:w="86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166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216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3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240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bidi="ar"/>
              </w:rPr>
              <w:t>合同总价，</w:t>
            </w:r>
            <w:r>
              <w:rPr>
                <w:rFonts w:hint="eastAsia" w:ascii="宋体" w:hAnsi="宋体" w:cs="宋体"/>
                <w:color w:val="auto"/>
                <w:kern w:val="0"/>
                <w:sz w:val="24"/>
                <w:szCs w:val="24"/>
                <w:highlight w:val="none"/>
              </w:rPr>
              <w:t>金额（元）</w:t>
            </w:r>
          </w:p>
        </w:tc>
      </w:tr>
      <w:tr>
        <w:tblPrEx>
          <w:tblCellMar>
            <w:top w:w="0" w:type="dxa"/>
            <w:left w:w="108" w:type="dxa"/>
            <w:bottom w:w="0" w:type="dxa"/>
            <w:right w:w="108" w:type="dxa"/>
          </w:tblCellMar>
        </w:tblPrEx>
        <w:trPr>
          <w:trHeight w:val="559" w:hRule="atLeast"/>
        </w:trPr>
        <w:tc>
          <w:tcPr>
            <w:tcW w:w="864"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家具</w:t>
            </w:r>
          </w:p>
        </w:tc>
        <w:tc>
          <w:tcPr>
            <w:tcW w:w="1667" w:type="dxa"/>
            <w:tcBorders>
              <w:top w:val="nil"/>
              <w:left w:val="nil"/>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r>
              <w:rPr>
                <w:rFonts w:hint="eastAsia" w:ascii="宋体" w:hAnsi="宋体"/>
                <w:color w:val="auto"/>
                <w:sz w:val="24"/>
                <w:szCs w:val="24"/>
                <w:highlight w:val="none"/>
              </w:rPr>
              <w:t>详见附件《供货清单》</w:t>
            </w:r>
          </w:p>
        </w:tc>
        <w:tc>
          <w:tcPr>
            <w:tcW w:w="2166" w:type="dxa"/>
            <w:tcBorders>
              <w:top w:val="nil"/>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szCs w:val="24"/>
                <w:highlight w:val="none"/>
              </w:rPr>
            </w:pPr>
          </w:p>
        </w:tc>
        <w:tc>
          <w:tcPr>
            <w:tcW w:w="1834"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4"/>
                <w:szCs w:val="24"/>
                <w:highlight w:val="none"/>
              </w:rPr>
            </w:pPr>
            <w:r>
              <w:rPr>
                <w:rFonts w:ascii="宋体" w:hAnsi="宋体"/>
                <w:color w:val="auto"/>
                <w:sz w:val="24"/>
                <w:szCs w:val="24"/>
                <w:highlight w:val="none"/>
              </w:rPr>
              <w:t>1批（详见附件</w:t>
            </w:r>
            <w:r>
              <w:rPr>
                <w:rFonts w:hint="eastAsia" w:ascii="宋体" w:hAnsi="宋体"/>
                <w:color w:val="auto"/>
                <w:sz w:val="24"/>
                <w:szCs w:val="24"/>
                <w:highlight w:val="none"/>
              </w:rPr>
              <w:t>1《供货</w:t>
            </w:r>
            <w:r>
              <w:rPr>
                <w:rFonts w:ascii="宋体" w:hAnsi="宋体"/>
                <w:color w:val="auto"/>
                <w:sz w:val="24"/>
                <w:szCs w:val="24"/>
                <w:highlight w:val="none"/>
              </w:rPr>
              <w:t>清单</w:t>
            </w:r>
            <w:r>
              <w:rPr>
                <w:rFonts w:hint="eastAsia" w:ascii="宋体" w:hAnsi="宋体"/>
                <w:color w:val="auto"/>
                <w:sz w:val="24"/>
                <w:szCs w:val="24"/>
                <w:highlight w:val="none"/>
              </w:rPr>
              <w:t>》</w:t>
            </w:r>
            <w:r>
              <w:rPr>
                <w:rFonts w:ascii="宋体" w:hAnsi="宋体"/>
                <w:color w:val="auto"/>
                <w:sz w:val="24"/>
                <w:szCs w:val="24"/>
                <w:highlight w:val="none"/>
              </w:rPr>
              <w:t>）</w:t>
            </w:r>
          </w:p>
        </w:tc>
        <w:tc>
          <w:tcPr>
            <w:tcW w:w="2405" w:type="dxa"/>
            <w:tcBorders>
              <w:top w:val="nil"/>
              <w:left w:val="nil"/>
              <w:bottom w:val="single" w:color="auto" w:sz="4" w:space="0"/>
              <w:right w:val="single" w:color="auto" w:sz="4" w:space="0"/>
            </w:tcBorders>
            <w:vAlign w:val="center"/>
          </w:tcPr>
          <w:p>
            <w:pPr>
              <w:widowControl/>
              <w:spacing w:line="360" w:lineRule="auto"/>
              <w:rPr>
                <w:rFonts w:hint="eastAsia" w:ascii="宋体" w:hAnsi="宋体" w:cs="宋体"/>
                <w:color w:val="auto"/>
                <w:kern w:val="0"/>
                <w:sz w:val="24"/>
                <w:szCs w:val="24"/>
                <w:highlight w:val="none"/>
              </w:rPr>
            </w:pPr>
            <w:r>
              <w:rPr>
                <w:rFonts w:hint="eastAsia" w:ascii="宋体" w:hAnsi="宋体"/>
                <w:color w:val="auto"/>
                <w:sz w:val="24"/>
                <w:szCs w:val="24"/>
                <w:highlight w:val="none"/>
              </w:rPr>
              <w:t>￥</w:t>
            </w:r>
          </w:p>
        </w:tc>
      </w:tr>
      <w:tr>
        <w:tblPrEx>
          <w:tblCellMar>
            <w:top w:w="0" w:type="dxa"/>
            <w:left w:w="108" w:type="dxa"/>
            <w:bottom w:w="0" w:type="dxa"/>
            <w:right w:w="108" w:type="dxa"/>
          </w:tblCellMar>
        </w:tblPrEx>
        <w:trPr>
          <w:trHeight w:val="540" w:hRule="atLeast"/>
        </w:trPr>
        <w:tc>
          <w:tcPr>
            <w:tcW w:w="8936" w:type="dxa"/>
            <w:gridSpan w:val="5"/>
            <w:tcBorders>
              <w:top w:val="single" w:color="auto" w:sz="4" w:space="0"/>
              <w:left w:val="single" w:color="auto" w:sz="4" w:space="0"/>
              <w:bottom w:val="single" w:color="auto" w:sz="4" w:space="0"/>
              <w:right w:val="single" w:color="000000" w:sz="4" w:space="0"/>
            </w:tcBorders>
            <w:vAlign w:val="center"/>
          </w:tcPr>
          <w:p>
            <w:pPr>
              <w:widowControl/>
              <w:spacing w:line="360" w:lineRule="auto"/>
              <w:ind w:firstLine="482" w:firstLineChars="200"/>
              <w:rPr>
                <w:rFonts w:hint="eastAsia" w:ascii="宋体" w:hAnsi="宋体" w:cs="宋体"/>
                <w:bCs/>
                <w:color w:val="auto"/>
                <w:sz w:val="24"/>
                <w:szCs w:val="24"/>
                <w:highlight w:val="none"/>
              </w:rPr>
            </w:pPr>
            <w:r>
              <w:rPr>
                <w:rFonts w:hint="eastAsia" w:ascii="宋体" w:hAnsi="宋体" w:cs="宋体"/>
                <w:b/>
                <w:bCs/>
                <w:color w:val="auto"/>
                <w:kern w:val="0"/>
                <w:sz w:val="24"/>
                <w:szCs w:val="24"/>
                <w:highlight w:val="none"/>
              </w:rPr>
              <w:t>中标总价：￥</w:t>
            </w:r>
            <w:r>
              <w:rPr>
                <w:rFonts w:hint="eastAsia" w:ascii="宋体" w:hAnsi="宋体" w:cs="宋体"/>
                <w:b/>
                <w:bCs/>
                <w:color w:val="auto"/>
                <w:kern w:val="0"/>
                <w:sz w:val="24"/>
                <w:szCs w:val="24"/>
                <w:highlight w:val="none"/>
                <w:u w:val="single"/>
              </w:rPr>
              <w:t xml:space="preserve">      </w:t>
            </w:r>
            <w:r>
              <w:rPr>
                <w:rFonts w:hint="eastAsia" w:ascii="宋体" w:hAnsi="宋体" w:cs="宋体"/>
                <w:b/>
                <w:bCs/>
                <w:color w:val="auto"/>
                <w:sz w:val="24"/>
                <w:szCs w:val="24"/>
                <w:highlight w:val="none"/>
              </w:rPr>
              <w:t>元（人民币</w:t>
            </w:r>
            <w:r>
              <w:rPr>
                <w:rFonts w:hint="eastAsia" w:ascii="宋体" w:hAnsi="宋体" w:cs="宋体"/>
                <w:b/>
                <w:bCs/>
                <w:color w:val="auto"/>
                <w:sz w:val="24"/>
                <w:szCs w:val="24"/>
                <w:highlight w:val="none"/>
                <w:u w:val="single"/>
              </w:rPr>
              <w:t xml:space="preserve">        </w:t>
            </w:r>
            <w:r>
              <w:rPr>
                <w:rFonts w:hint="eastAsia" w:ascii="宋体" w:hAnsi="宋体" w:cs="宋体"/>
                <w:b/>
                <w:bCs/>
                <w:color w:val="auto"/>
                <w:kern w:val="0"/>
                <w:sz w:val="24"/>
                <w:szCs w:val="24"/>
                <w:highlight w:val="none"/>
              </w:rPr>
              <w:t>元整</w:t>
            </w: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 xml:space="preserve">其中货物采购费用占中标总价的 </w:t>
            </w:r>
            <w:r>
              <w:rPr>
                <w:rFonts w:hint="eastAsia" w:ascii="宋体" w:hAnsi="宋体" w:cs="宋体"/>
                <w:bCs/>
                <w:color w:val="auto"/>
                <w:sz w:val="24"/>
                <w:szCs w:val="24"/>
                <w:highlight w:val="none"/>
                <w:u w:val="single"/>
              </w:rPr>
              <w:t xml:space="preserve">97% </w:t>
            </w:r>
            <w:r>
              <w:rPr>
                <w:rFonts w:hint="eastAsia" w:ascii="宋体" w:hAnsi="宋体" w:cs="宋体"/>
                <w:bCs/>
                <w:color w:val="auto"/>
                <w:sz w:val="24"/>
                <w:szCs w:val="24"/>
                <w:highlight w:val="none"/>
              </w:rPr>
              <w:t>（即</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元）通过本合同结算（即</w:t>
            </w:r>
            <w:r>
              <w:rPr>
                <w:rFonts w:hint="eastAsia" w:ascii="宋体" w:hAnsi="宋体" w:cs="宋体"/>
                <w:b/>
                <w:color w:val="auto"/>
                <w:sz w:val="24"/>
                <w:szCs w:val="24"/>
                <w:highlight w:val="none"/>
              </w:rPr>
              <w:t>本合同总价</w:t>
            </w:r>
            <w:r>
              <w:rPr>
                <w:rFonts w:hint="eastAsia" w:ascii="宋体" w:hAnsi="宋体" w:cs="宋体"/>
                <w:bCs/>
                <w:color w:val="auto"/>
                <w:sz w:val="24"/>
                <w:szCs w:val="24"/>
                <w:highlight w:val="none"/>
              </w:rPr>
              <w:t>为￥</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元）。货物验收完成后的保修等售后服务费用占中标总价的</w:t>
            </w:r>
            <w:r>
              <w:rPr>
                <w:rFonts w:hint="eastAsia" w:ascii="宋体" w:hAnsi="宋体" w:cs="宋体"/>
                <w:bCs/>
                <w:color w:val="auto"/>
                <w:sz w:val="24"/>
                <w:szCs w:val="24"/>
                <w:highlight w:val="none"/>
                <w:u w:val="single"/>
              </w:rPr>
              <w:t>3%</w:t>
            </w:r>
            <w:r>
              <w:rPr>
                <w:rFonts w:hint="eastAsia" w:ascii="宋体" w:hAnsi="宋体" w:cs="宋体"/>
                <w:bCs/>
                <w:color w:val="auto"/>
                <w:sz w:val="24"/>
                <w:szCs w:val="24"/>
                <w:highlight w:val="none"/>
              </w:rPr>
              <w:t>（即</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元）由买方与供应商签订服务合同单独结算，与本合同各自独立履行、互不影响。</w:t>
            </w:r>
          </w:p>
          <w:p>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pPr>
              <w:widowControl/>
              <w:spacing w:line="360" w:lineRule="auto"/>
              <w:ind w:firstLine="482" w:firstLineChars="200"/>
              <w:rPr>
                <w:rFonts w:hint="eastAsia" w:ascii="宋体" w:hAnsi="宋体" w:cs="宋体"/>
                <w:bCs/>
                <w:color w:val="auto"/>
                <w:sz w:val="24"/>
                <w:szCs w:val="24"/>
                <w:highlight w:val="none"/>
              </w:rPr>
            </w:pPr>
            <w:r>
              <w:rPr>
                <w:rFonts w:hint="eastAsia" w:ascii="宋体" w:hAnsi="宋体" w:cs="宋体"/>
                <w:b/>
                <w:bCs/>
                <w:color w:val="auto"/>
                <w:kern w:val="0"/>
                <w:sz w:val="24"/>
                <w:szCs w:val="24"/>
                <w:highlight w:val="none"/>
              </w:rPr>
              <w:t>中标总价：￥</w:t>
            </w:r>
            <w:r>
              <w:rPr>
                <w:rFonts w:hint="eastAsia" w:ascii="宋体" w:hAnsi="宋体" w:cs="宋体"/>
                <w:b/>
                <w:bCs/>
                <w:color w:val="auto"/>
                <w:kern w:val="0"/>
                <w:sz w:val="24"/>
                <w:szCs w:val="24"/>
                <w:highlight w:val="none"/>
                <w:u w:val="single"/>
              </w:rPr>
              <w:t xml:space="preserve">      </w:t>
            </w:r>
            <w:r>
              <w:rPr>
                <w:rFonts w:hint="eastAsia" w:ascii="宋体" w:hAnsi="宋体" w:cs="宋体"/>
                <w:b/>
                <w:bCs/>
                <w:color w:val="auto"/>
                <w:sz w:val="24"/>
                <w:szCs w:val="24"/>
                <w:highlight w:val="none"/>
              </w:rPr>
              <w:t>元（人民币</w:t>
            </w:r>
            <w:r>
              <w:rPr>
                <w:rFonts w:hint="eastAsia" w:ascii="宋体" w:hAnsi="宋体" w:cs="宋体"/>
                <w:b/>
                <w:bCs/>
                <w:color w:val="auto"/>
                <w:sz w:val="24"/>
                <w:szCs w:val="24"/>
                <w:highlight w:val="none"/>
                <w:u w:val="single"/>
              </w:rPr>
              <w:t xml:space="preserve">        </w:t>
            </w:r>
            <w:r>
              <w:rPr>
                <w:rFonts w:hint="eastAsia" w:ascii="宋体" w:hAnsi="宋体" w:cs="宋体"/>
                <w:b/>
                <w:bCs/>
                <w:color w:val="auto"/>
                <w:kern w:val="0"/>
                <w:sz w:val="24"/>
                <w:szCs w:val="24"/>
                <w:highlight w:val="none"/>
              </w:rPr>
              <w:t>元整</w:t>
            </w: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 xml:space="preserve">其中货物采购费用占中标总价的 </w:t>
            </w:r>
            <w:r>
              <w:rPr>
                <w:rFonts w:hint="eastAsia" w:ascii="宋体" w:hAnsi="宋体" w:cs="宋体"/>
                <w:bCs/>
                <w:color w:val="auto"/>
                <w:sz w:val="24"/>
                <w:szCs w:val="24"/>
                <w:highlight w:val="none"/>
                <w:u w:val="single"/>
              </w:rPr>
              <w:t xml:space="preserve">98.5% </w:t>
            </w:r>
            <w:r>
              <w:rPr>
                <w:rFonts w:hint="eastAsia" w:ascii="宋体" w:hAnsi="宋体" w:cs="宋体"/>
                <w:bCs/>
                <w:color w:val="auto"/>
                <w:sz w:val="24"/>
                <w:szCs w:val="24"/>
                <w:highlight w:val="none"/>
              </w:rPr>
              <w:t>（即</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元）通过本合同结算（即</w:t>
            </w:r>
            <w:r>
              <w:rPr>
                <w:rFonts w:hint="eastAsia" w:ascii="宋体" w:hAnsi="宋体" w:cs="宋体"/>
                <w:b/>
                <w:color w:val="auto"/>
                <w:sz w:val="24"/>
                <w:szCs w:val="24"/>
                <w:highlight w:val="none"/>
              </w:rPr>
              <w:t>本合同总价</w:t>
            </w:r>
            <w:r>
              <w:rPr>
                <w:rFonts w:hint="eastAsia" w:ascii="宋体" w:hAnsi="宋体" w:cs="宋体"/>
                <w:bCs/>
                <w:color w:val="auto"/>
                <w:sz w:val="24"/>
                <w:szCs w:val="24"/>
                <w:highlight w:val="none"/>
              </w:rPr>
              <w:t>为￥</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元）。货物验收完成后的保修等售后服务费用占中标总价的1.5</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rPr>
              <w:t>（即</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元）由买方与供应商签订服务合同单独结算，与本合同各自独立履行、互不影响。</w:t>
            </w:r>
          </w:p>
          <w:p>
            <w:pPr>
              <w:widowControl/>
              <w:spacing w:line="360" w:lineRule="auto"/>
              <w:ind w:firstLine="480" w:firstLineChars="200"/>
              <w:rPr>
                <w:rFonts w:hint="eastAsia" w:ascii="宋体" w:hAnsi="宋体" w:cs="宋体"/>
                <w:bCs/>
                <w:color w:val="auto"/>
                <w:sz w:val="24"/>
                <w:szCs w:val="24"/>
                <w:highlight w:val="none"/>
              </w:rPr>
            </w:pPr>
          </w:p>
        </w:tc>
      </w:tr>
    </w:tbl>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2、交货</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2.1交货期：合同签订之日起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个日历日内（含交货、安装并验收合格交付使用）。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2.2交货地点：买方指定的地点。</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2.3到货签收：卖方每批次供货到买方指定地点后，买方应当对到货数量、型号等进行清点签收，买方应按第4条约定的付款条件向卖方支付约定的货款。</w:t>
      </w:r>
    </w:p>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3、验收</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3.1买方负责承担合同货物安装过程中相应的协调、配合工作。</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3.2安装工作完成后，买方负责对合同货物进行验收。买方验收合格即视为最终验收合格；若无正当理由，买方超过30天仍未验收且未提出书面异议的，则视为最终验收合格。</w:t>
      </w:r>
    </w:p>
    <w:p>
      <w:pPr>
        <w:pStyle w:val="1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3.3买方在货物安装完毕后发现货物存在问题的，应在货物交付后</w:t>
      </w:r>
      <w:r>
        <w:rPr>
          <w:rFonts w:hint="eastAsia" w:ascii="宋体" w:hAnsi="宋体" w:cs="宋体"/>
          <w:color w:val="auto"/>
          <w:sz w:val="24"/>
          <w:highlight w:val="none"/>
          <w:u w:val="single"/>
        </w:rPr>
        <w:t xml:space="preserve"> 5 </w:t>
      </w:r>
      <w:r>
        <w:rPr>
          <w:rFonts w:hint="eastAsia" w:ascii="宋体" w:hAnsi="宋体" w:cs="宋体"/>
          <w:color w:val="auto"/>
          <w:sz w:val="24"/>
          <w:highlight w:val="none"/>
        </w:rPr>
        <w:t>个工作日内向卖方提出书面异议，逾期提出书面异议的，视为最终验收合格。</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3.4最终验收时，买方填写《厦门市大宗货物政府采购供货验收单》中货物相关信息，签署验收意见和加盖公章，并分别提供一份给供应商和卖方。</w:t>
      </w:r>
    </w:p>
    <w:p>
      <w:pPr>
        <w:tabs>
          <w:tab w:val="left" w:pos="5130"/>
        </w:tabs>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4、付款方式</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4.1合同签订后1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个工作日内，买方向卖方支付合同总价</w:t>
      </w:r>
      <w:r>
        <w:rPr>
          <w:rFonts w:hint="eastAsia" w:ascii="宋体" w:hAnsi="宋体" w:cs="宋体"/>
          <w:color w:val="auto"/>
          <w:sz w:val="24"/>
          <w:szCs w:val="24"/>
          <w:highlight w:val="none"/>
          <w:u w:val="single"/>
          <w:lang w:val="en-US" w:eastAsia="zh-CN"/>
        </w:rPr>
        <w:t>90</w:t>
      </w:r>
      <w:r>
        <w:rPr>
          <w:rFonts w:hint="eastAsia" w:ascii="宋体" w:hAnsi="宋体" w:cs="宋体"/>
          <w:color w:val="auto"/>
          <w:sz w:val="24"/>
          <w:szCs w:val="24"/>
          <w:highlight w:val="none"/>
        </w:rPr>
        <w:t>%的预付款。</w:t>
      </w:r>
    </w:p>
    <w:p>
      <w:pPr>
        <w:tabs>
          <w:tab w:val="left" w:pos="5130"/>
        </w:tabs>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4.2卖方供货安装、调试完毕，买方验收合格后，卖方开具本合同总价100%的正规发票和全部货物清单给买方，买方在1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个工作日内支付至本合同总价</w:t>
      </w:r>
      <w:r>
        <w:rPr>
          <w:rFonts w:hint="eastAsia" w:ascii="宋体" w:hAnsi="宋体" w:cs="宋体"/>
          <w:color w:val="auto"/>
          <w:sz w:val="24"/>
          <w:szCs w:val="24"/>
          <w:highlight w:val="none"/>
          <w:u w:val="single"/>
        </w:rPr>
        <w:t xml:space="preserve"> 100 </w:t>
      </w:r>
      <w:r>
        <w:rPr>
          <w:rFonts w:hint="eastAsia" w:ascii="宋体" w:hAnsi="宋体" w:cs="宋体"/>
          <w:color w:val="auto"/>
          <w:sz w:val="24"/>
          <w:szCs w:val="24"/>
          <w:highlight w:val="none"/>
        </w:rPr>
        <w:t>%的款项。</w:t>
      </w:r>
    </w:p>
    <w:p>
      <w:pPr>
        <w:tabs>
          <w:tab w:val="left" w:pos="5130"/>
        </w:tabs>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4.3付款时需具备以下材料：</w:t>
      </w:r>
    </w:p>
    <w:p>
      <w:pPr>
        <w:tabs>
          <w:tab w:val="left" w:pos="5130"/>
        </w:tabs>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（1）买方签署的《厦门市大宗货物政府采购供货验收单》；</w:t>
      </w:r>
    </w:p>
    <w:p>
      <w:pPr>
        <w:tabs>
          <w:tab w:val="left" w:pos="5130"/>
        </w:tabs>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（2）货物发票（需附清单）；</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4.4卖方指定收款账户如下：</w:t>
      </w:r>
    </w:p>
    <w:p>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卖方全称：厦门万翔网络商务有限公司</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中国建设银行股份有限公司厦门自贸试验区航空港支行</w:t>
      </w:r>
    </w:p>
    <w:p>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35101570201052503924</w:t>
      </w:r>
    </w:p>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5、售后服务</w:t>
      </w:r>
    </w:p>
    <w:p>
      <w:pPr>
        <w:tabs>
          <w:tab w:val="left" w:pos="0"/>
        </w:tabs>
        <w:adjustRightInd w:val="0"/>
        <w:spacing w:line="360" w:lineRule="auto"/>
        <w:ind w:firstLine="480" w:firstLineChars="200"/>
        <w:rPr>
          <w:rFonts w:hint="eastAsia" w:ascii="宋体" w:hAnsi="宋体" w:cs="宋体"/>
          <w:bCs/>
          <w:color w:val="auto"/>
          <w:kern w:val="0"/>
          <w:sz w:val="24"/>
          <w:szCs w:val="24"/>
          <w:highlight w:val="none"/>
          <w:u w:val="single"/>
        </w:rPr>
      </w:pP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rPr>
        <w:t>中标/成交供应商</w:t>
      </w:r>
      <w:r>
        <w:rPr>
          <w:rFonts w:hint="eastAsia" w:ascii="宋体" w:hAnsi="宋体" w:cs="宋体"/>
          <w:bCs/>
          <w:color w:val="auto"/>
          <w:kern w:val="0"/>
          <w:sz w:val="24"/>
          <w:szCs w:val="24"/>
          <w:highlight w:val="none"/>
          <w:u w:val="single"/>
        </w:rPr>
        <w:t>提供，买方应就货物保修等售后服务与供应商另行签订相应服务合同，卖方不向买方承担保修等售后服务</w:t>
      </w:r>
      <w:r>
        <w:rPr>
          <w:rFonts w:ascii="宋体" w:hAnsi="宋体" w:cs="宋体"/>
          <w:bCs/>
          <w:color w:val="auto"/>
          <w:kern w:val="0"/>
          <w:sz w:val="24"/>
          <w:szCs w:val="24"/>
          <w:highlight w:val="none"/>
          <w:u w:val="single"/>
        </w:rPr>
        <w:t>义务</w:t>
      </w:r>
      <w:r>
        <w:rPr>
          <w:rFonts w:hint="eastAsia" w:ascii="宋体" w:hAnsi="宋体" w:cs="宋体"/>
          <w:bCs/>
          <w:color w:val="auto"/>
          <w:kern w:val="0"/>
          <w:sz w:val="24"/>
          <w:szCs w:val="24"/>
          <w:highlight w:val="none"/>
          <w:u w:val="single"/>
        </w:rPr>
        <w:t>。</w:t>
      </w:r>
    </w:p>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6、违约责任</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6.1除不可抗力外，买方不能在本合同规定的时间内支付相应的货款时,应向卖方支付违约金,其支付办法是,每延迟一日,违约金为逾期应付款的万分之四,依此累加。</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6.2除不可抗力外，卖方不能按时交货或完成安装时,应提前五天以书面的形式通知买方,并征得买方同意,否则应向买方支付违约金,其支付办法是,每延迟一日,违约金为逾期交货或安装部分价款的万分之四，依此累加。</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6.3一方违反合同造成另一方损失的，违约方应向守约方承担相应的赔偿责任。本合同约定的违约金不足以弥补守约方损失的，违约方应继续承担赔偿责任。</w:t>
      </w:r>
    </w:p>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7、不可抗力</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pPr>
        <w:spacing w:line="360" w:lineRule="auto"/>
        <w:ind w:firstLine="480" w:firstLineChars="200"/>
        <w:rPr>
          <w:rFonts w:hint="eastAsia" w:ascii="宋体" w:hAnsi="宋体" w:cs="宋体"/>
          <w:b/>
          <w:color w:val="auto"/>
          <w:sz w:val="24"/>
          <w:szCs w:val="24"/>
          <w:highlight w:val="none"/>
        </w:rPr>
      </w:pPr>
      <w:r>
        <w:rPr>
          <w:rFonts w:hint="eastAsia" w:ascii="宋体" w:hAnsi="宋体" w:cs="宋体"/>
          <w:color w:val="auto"/>
          <w:sz w:val="24"/>
          <w:szCs w:val="24"/>
          <w:highlight w:val="none"/>
        </w:rPr>
        <w:t>7.3当事人一方因不可抗力的原因不能履行合同的，应及时通知对方，以减轻可能给对方造成的损失，并应当在合理期限内提供证明。</w:t>
      </w:r>
    </w:p>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8、合同纠纷处理方式：</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ascii="宋体" w:hAnsi="宋体" w:cs="宋体"/>
          <w:color w:val="auto"/>
          <w:sz w:val="24"/>
          <w:szCs w:val="24"/>
          <w:highlight w:val="none"/>
        </w:rPr>
        <w:t>合同履行地（交货地）人民法院提起诉讼</w:t>
      </w:r>
      <w:r>
        <w:rPr>
          <w:rFonts w:hint="eastAsia" w:ascii="宋体" w:hAnsi="宋体" w:cs="宋体"/>
          <w:color w:val="auto"/>
          <w:sz w:val="24"/>
          <w:szCs w:val="24"/>
          <w:highlight w:val="none"/>
        </w:rPr>
        <w:t>。</w:t>
      </w:r>
    </w:p>
    <w:p>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9、其他约定</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9.1买卖双方同意，卖方供货经买方验收完成后，卖方即履行完毕所有合同义务。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9.2本合同未尽事宜，双方另行补充。</w:t>
      </w:r>
    </w:p>
    <w:p>
      <w:pPr>
        <w:widowControl/>
        <w:spacing w:line="360" w:lineRule="auto"/>
        <w:ind w:firstLine="480" w:firstLineChars="200"/>
        <w:jc w:val="left"/>
        <w:rPr>
          <w:rFonts w:hint="eastAsia" w:ascii="宋体" w:hAnsi="宋体" w:cs="宋体"/>
          <w:color w:val="auto"/>
          <w:sz w:val="24"/>
          <w:szCs w:val="24"/>
          <w:highlight w:val="none"/>
          <w:lang w:bidi="ar"/>
        </w:rPr>
      </w:pPr>
      <w:r>
        <w:rPr>
          <w:rFonts w:hint="eastAsia" w:ascii="宋体" w:hAnsi="宋体" w:cs="宋体"/>
          <w:color w:val="auto"/>
          <w:sz w:val="24"/>
          <w:szCs w:val="24"/>
          <w:highlight w:val="none"/>
        </w:rPr>
        <w:t>9.3</w:t>
      </w:r>
      <w:r>
        <w:rPr>
          <w:rFonts w:hint="eastAsia" w:ascii="宋体" w:hAnsi="宋体" w:cs="宋体"/>
          <w:color w:val="auto"/>
          <w:sz w:val="24"/>
          <w:szCs w:val="24"/>
          <w:highlight w:val="none"/>
          <w:lang w:bidi="ar"/>
        </w:rPr>
        <w:t>本项目的下述文件均为本合同不可分割的一部分，且应当互为解释；存在不一致时，应按下列顺序优先解释：</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（1）采购合同;</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（2）买卖合同;</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（3）招标文件及补充规定;</w:t>
      </w:r>
    </w:p>
    <w:p>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（4）投标文件及澄清说明。</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9.4本合同一式伍份，经双方签订之日起生效。买方执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份，卖方执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份，送厦门市财政局政府采购监管处备案壹份，具有同等法律效力。</w:t>
      </w:r>
    </w:p>
    <w:p>
      <w:pPr>
        <w:spacing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（以下无正文）</w:t>
      </w: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r>
              <w:rPr>
                <w:rFonts w:hint="eastAsia" w:ascii="宋体" w:hAnsi="宋体" w:cs="宋体"/>
                <w:color w:val="auto"/>
                <w:sz w:val="24"/>
                <w:szCs w:val="24"/>
                <w:highlight w:val="none"/>
              </w:rPr>
              <w:t>厦门万翔网络商务有限公司</w:t>
            </w:r>
          </w:p>
        </w:tc>
      </w:tr>
      <w:tr>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r>
      <w:tr>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b/>
                <w:bCs/>
                <w:color w:val="auto"/>
                <w:sz w:val="24"/>
                <w:szCs w:val="24"/>
                <w:highlight w:val="none"/>
              </w:rPr>
            </w:pPr>
            <w:r>
              <w:rPr>
                <w:rFonts w:hint="eastAsia" w:ascii="宋体" w:hAnsi="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b/>
                <w:bCs/>
                <w:color w:val="auto"/>
                <w:sz w:val="24"/>
                <w:szCs w:val="24"/>
                <w:highlight w:val="none"/>
              </w:rPr>
            </w:pPr>
            <w:r>
              <w:rPr>
                <w:rFonts w:hint="eastAsia" w:ascii="宋体" w:hAnsi="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r>
      <w:tr>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r>
      <w:tr>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r>
      <w:tr>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b/>
                <w:bCs/>
                <w:color w:val="auto"/>
                <w:sz w:val="24"/>
                <w:szCs w:val="24"/>
                <w:highlight w:val="none"/>
              </w:rPr>
            </w:pPr>
            <w:r>
              <w:rPr>
                <w:rFonts w:hint="eastAsia" w:ascii="宋体" w:hAnsi="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b/>
                <w:bCs/>
                <w:color w:val="auto"/>
                <w:sz w:val="24"/>
                <w:szCs w:val="24"/>
                <w:highlight w:val="none"/>
              </w:rPr>
            </w:pPr>
            <w:r>
              <w:rPr>
                <w:rFonts w:hint="eastAsia" w:ascii="宋体" w:hAnsi="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pPr>
              <w:pStyle w:val="9"/>
              <w:widowControl w:val="0"/>
              <w:snapToGrid w:val="0"/>
              <w:spacing w:before="0" w:beforeAutospacing="0" w:after="0" w:afterAutospacing="0"/>
              <w:rPr>
                <w:rFonts w:hint="eastAsia" w:cs="Times New Roman"/>
                <w:color w:val="auto"/>
                <w:szCs w:val="18"/>
                <w:highlight w:val="none"/>
              </w:rPr>
            </w:pPr>
            <w:r>
              <w:rPr>
                <w:rFonts w:hint="eastAsia"/>
                <w:color w:val="auto"/>
                <w:highlight w:val="none"/>
              </w:rPr>
              <w:t>中国建设银行股份有限公司厦门自贸试验区航空港支行</w:t>
            </w:r>
          </w:p>
        </w:tc>
      </w:tr>
      <w:tr>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b/>
                <w:bCs/>
                <w:color w:val="auto"/>
                <w:sz w:val="24"/>
                <w:szCs w:val="24"/>
                <w:highlight w:val="none"/>
              </w:rPr>
            </w:pPr>
            <w:r>
              <w:rPr>
                <w:rFonts w:hint="eastAsia" w:ascii="宋体" w:hAnsi="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pPr>
              <w:pStyle w:val="7"/>
              <w:rPr>
                <w:rFonts w:hint="eastAsia"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b/>
                <w:bCs/>
                <w:color w:val="auto"/>
                <w:sz w:val="24"/>
                <w:szCs w:val="24"/>
                <w:highlight w:val="none"/>
              </w:rPr>
            </w:pPr>
            <w:r>
              <w:rPr>
                <w:rFonts w:hint="eastAsia" w:ascii="宋体" w:hAnsi="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pPr>
              <w:pStyle w:val="9"/>
              <w:widowControl w:val="0"/>
              <w:snapToGrid w:val="0"/>
              <w:spacing w:before="0" w:beforeAutospacing="0" w:after="0" w:afterAutospacing="0"/>
              <w:rPr>
                <w:rFonts w:hint="eastAsia" w:cs="Times New Roman"/>
                <w:color w:val="auto"/>
                <w:szCs w:val="18"/>
                <w:highlight w:val="none"/>
              </w:rPr>
            </w:pPr>
            <w:r>
              <w:rPr>
                <w:rFonts w:hint="eastAsia"/>
                <w:color w:val="auto"/>
                <w:highlight w:val="none"/>
              </w:rPr>
              <w:t xml:space="preserve">35101570201052503924  </w:t>
            </w:r>
          </w:p>
        </w:tc>
      </w:tr>
      <w:tr>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pPr>
              <w:pStyle w:val="7"/>
              <w:autoSpaceDE w:val="0"/>
              <w:spacing w:line="360" w:lineRule="auto"/>
              <w:rPr>
                <w:rFonts w:hint="eastAsia" w:ascii="宋体" w:hAnsi="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autoSpaceDE w:val="0"/>
              <w:spacing w:line="360" w:lineRule="auto"/>
              <w:jc w:val="center"/>
              <w:rPr>
                <w:rFonts w:hint="eastAsia" w:ascii="宋体" w:hAnsi="宋体"/>
                <w:color w:val="auto"/>
                <w:sz w:val="24"/>
                <w:szCs w:val="24"/>
                <w:highlight w:val="none"/>
              </w:rPr>
            </w:pPr>
            <w:r>
              <w:rPr>
                <w:rFonts w:hint="eastAsia" w:ascii="宋体" w:hAnsi="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pPr>
              <w:pStyle w:val="7"/>
              <w:autoSpaceDE w:val="0"/>
              <w:spacing w:line="360" w:lineRule="auto"/>
              <w:rPr>
                <w:rFonts w:hint="eastAsia" w:ascii="宋体" w:hAnsi="宋体"/>
                <w:color w:val="auto"/>
                <w:sz w:val="24"/>
                <w:szCs w:val="24"/>
                <w:highlight w:val="none"/>
              </w:rPr>
            </w:pPr>
          </w:p>
        </w:tc>
      </w:tr>
    </w:tbl>
    <w:p>
      <w:pPr>
        <w:pStyle w:val="20"/>
        <w:widowControl/>
        <w:ind w:left="-850" w:leftChars="-405" w:firstLine="561"/>
        <w:rPr>
          <w:rFonts w:ascii="华文楷体" w:hAnsi="华文楷体" w:eastAsia="华文楷体" w:cs="华文楷体"/>
          <w:b/>
          <w:color w:val="auto"/>
          <w:sz w:val="28"/>
          <w:szCs w:val="28"/>
          <w:highlight w:val="none"/>
        </w:rPr>
        <w:sectPr>
          <w:footerReference r:id="rId12" w:type="default"/>
          <w:pgSz w:w="11906" w:h="16838"/>
          <w:pgMar w:top="1440" w:right="1800" w:bottom="1440" w:left="1800" w:header="851" w:footer="992" w:gutter="0"/>
          <w:cols w:space="720" w:num="1"/>
          <w:docGrid w:type="lines" w:linePitch="312" w:charSpace="0"/>
        </w:sectPr>
      </w:pPr>
    </w:p>
    <w:p>
      <w:pPr>
        <w:pStyle w:val="20"/>
        <w:widowControl/>
        <w:ind w:left="-850" w:leftChars="-405" w:firstLine="561"/>
        <w:rPr>
          <w:rFonts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1</w:t>
      </w:r>
      <w:r>
        <w:rPr>
          <w:rFonts w:hint="default" w:ascii="华文楷体" w:hAnsi="华文楷体" w:eastAsia="华文楷体" w:cs="华文楷体"/>
          <w:b/>
          <w:color w:val="auto"/>
          <w:sz w:val="28"/>
          <w:szCs w:val="28"/>
          <w:highlight w:val="none"/>
        </w:rPr>
        <w:t>：供货清单</w:t>
      </w:r>
    </w:p>
    <w:p>
      <w:pPr>
        <w:pStyle w:val="21"/>
        <w:rPr>
          <w:rFonts w:hint="eastAsia" w:ascii="宋体" w:hAnsi="宋体" w:cs="宋体"/>
          <w:color w:val="auto"/>
          <w:sz w:val="24"/>
          <w:szCs w:val="24"/>
          <w:highlight w:val="none"/>
        </w:rPr>
      </w:pPr>
    </w:p>
    <w:tbl>
      <w:tblPr>
        <w:tblStyle w:val="13"/>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序号</w:t>
            </w:r>
          </w:p>
        </w:tc>
        <w:tc>
          <w:tcPr>
            <w:tcW w:w="1272"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名  称</w:t>
            </w:r>
          </w:p>
        </w:tc>
        <w:tc>
          <w:tcPr>
            <w:tcW w:w="821"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数量</w:t>
            </w:r>
          </w:p>
        </w:tc>
        <w:tc>
          <w:tcPr>
            <w:tcW w:w="994"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原产地</w:t>
            </w:r>
          </w:p>
        </w:tc>
        <w:tc>
          <w:tcPr>
            <w:tcW w:w="1445"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制  造  商</w:t>
            </w:r>
          </w:p>
        </w:tc>
        <w:tc>
          <w:tcPr>
            <w:tcW w:w="2977"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规   格   型   号</w:t>
            </w:r>
          </w:p>
        </w:tc>
        <w:tc>
          <w:tcPr>
            <w:tcW w:w="1276" w:type="dxa"/>
            <w:vAlign w:val="center"/>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单价（元）</w:t>
            </w:r>
          </w:p>
        </w:tc>
        <w:tc>
          <w:tcPr>
            <w:tcW w:w="1417" w:type="dxa"/>
          </w:tcPr>
          <w:p>
            <w:pPr>
              <w:pStyle w:val="19"/>
              <w:widowControl w:val="0"/>
              <w:spacing w:line="460" w:lineRule="exact"/>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pPr>
              <w:spacing w:line="460" w:lineRule="exact"/>
              <w:jc w:val="center"/>
              <w:rPr>
                <w:rFonts w:hint="eastAsia" w:ascii="华文楷体" w:hAnsi="华文楷体" w:eastAsia="华文楷体"/>
                <w:color w:val="auto"/>
                <w:kern w:val="0"/>
                <w:sz w:val="24"/>
                <w:highlight w:val="none"/>
              </w:rPr>
            </w:pPr>
          </w:p>
        </w:tc>
        <w:tc>
          <w:tcPr>
            <w:tcW w:w="1272"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821" w:type="dxa"/>
            <w:vAlign w:val="center"/>
          </w:tcPr>
          <w:p>
            <w:pPr>
              <w:spacing w:line="460" w:lineRule="exact"/>
              <w:jc w:val="center"/>
              <w:rPr>
                <w:rFonts w:hint="eastAsia" w:ascii="华文楷体" w:hAnsi="华文楷体" w:eastAsia="华文楷体" w:cs="宋体"/>
                <w:color w:val="auto"/>
                <w:kern w:val="0"/>
                <w:sz w:val="24"/>
                <w:highlight w:val="none"/>
              </w:rPr>
            </w:pPr>
          </w:p>
        </w:tc>
        <w:tc>
          <w:tcPr>
            <w:tcW w:w="994"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1445" w:type="dxa"/>
            <w:vAlign w:val="center"/>
          </w:tcPr>
          <w:p>
            <w:pPr>
              <w:pStyle w:val="19"/>
              <w:widowControl w:val="0"/>
              <w:spacing w:line="460" w:lineRule="exact"/>
              <w:jc w:val="center"/>
              <w:rPr>
                <w:rFonts w:hint="eastAsia" w:ascii="华文楷体" w:hAnsi="华文楷体" w:eastAsia="华文楷体"/>
                <w:color w:val="auto"/>
                <w:sz w:val="24"/>
                <w:szCs w:val="24"/>
                <w:highlight w:val="none"/>
              </w:rPr>
            </w:pPr>
          </w:p>
        </w:tc>
        <w:tc>
          <w:tcPr>
            <w:tcW w:w="2977" w:type="dxa"/>
            <w:vAlign w:val="center"/>
          </w:tcPr>
          <w:p>
            <w:pPr>
              <w:spacing w:line="460" w:lineRule="exact"/>
              <w:ind w:firstLine="480" w:firstLineChars="200"/>
              <w:rPr>
                <w:rFonts w:hint="eastAsia" w:ascii="华文楷体" w:hAnsi="华文楷体" w:eastAsia="华文楷体" w:cs="宋体"/>
                <w:color w:val="auto"/>
                <w:kern w:val="0"/>
                <w:sz w:val="24"/>
                <w:highlight w:val="none"/>
              </w:rPr>
            </w:pPr>
          </w:p>
        </w:tc>
        <w:tc>
          <w:tcPr>
            <w:tcW w:w="1276" w:type="dxa"/>
            <w:vAlign w:val="center"/>
          </w:tcPr>
          <w:p>
            <w:pPr>
              <w:spacing w:line="460" w:lineRule="exact"/>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cs="宋体"/>
                <w:b/>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vAlign w:val="center"/>
          </w:tcPr>
          <w:p>
            <w:pPr>
              <w:spacing w:line="460" w:lineRule="exact"/>
              <w:rPr>
                <w:rFonts w:hint="eastAsia" w:ascii="华文楷体" w:hAnsi="华文楷体" w:eastAsia="华文楷体"/>
                <w:b/>
                <w:color w:val="auto"/>
                <w:kern w:val="0"/>
                <w:sz w:val="24"/>
                <w:highlight w:val="none"/>
              </w:rPr>
            </w:pPr>
            <w:r>
              <w:rPr>
                <w:rFonts w:hint="eastAsia" w:ascii="华文楷体" w:hAnsi="华文楷体" w:eastAsia="华文楷体"/>
                <w:b/>
                <w:color w:val="auto"/>
                <w:kern w:val="0"/>
                <w:sz w:val="24"/>
                <w:highlight w:val="none"/>
              </w:rPr>
              <w:t>合计（元）：</w:t>
            </w:r>
          </w:p>
        </w:tc>
        <w:tc>
          <w:tcPr>
            <w:tcW w:w="1276" w:type="dxa"/>
            <w:vAlign w:val="center"/>
          </w:tcPr>
          <w:p>
            <w:pPr>
              <w:jc w:val="center"/>
              <w:rPr>
                <w:rFonts w:hint="eastAsia" w:ascii="华文楷体" w:hAnsi="华文楷体" w:eastAsia="华文楷体"/>
                <w:b/>
                <w:color w:val="auto"/>
                <w:kern w:val="0"/>
                <w:sz w:val="24"/>
                <w:highlight w:val="none"/>
              </w:rPr>
            </w:pPr>
          </w:p>
        </w:tc>
        <w:tc>
          <w:tcPr>
            <w:tcW w:w="1417" w:type="dxa"/>
            <w:vAlign w:val="center"/>
          </w:tcPr>
          <w:p>
            <w:pPr>
              <w:jc w:val="center"/>
              <w:rPr>
                <w:rFonts w:hint="eastAsia" w:ascii="华文楷体" w:hAnsi="华文楷体" w:eastAsia="华文楷体"/>
                <w:b/>
                <w:color w:val="auto"/>
                <w:kern w:val="0"/>
                <w:sz w:val="24"/>
                <w:highlight w:val="none"/>
              </w:rPr>
            </w:pPr>
          </w:p>
        </w:tc>
      </w:tr>
    </w:tbl>
    <w:p>
      <w:pPr>
        <w:pStyle w:val="20"/>
        <w:widowControl/>
        <w:ind w:left="-850" w:leftChars="-405" w:firstLine="561"/>
        <w:rPr>
          <w:rFonts w:ascii="华文楷体" w:hAnsi="华文楷体" w:eastAsia="华文楷体" w:cs="华文楷体"/>
          <w:b/>
          <w:color w:val="auto"/>
          <w:sz w:val="28"/>
          <w:szCs w:val="28"/>
          <w:highlight w:val="none"/>
        </w:rPr>
        <w:sectPr>
          <w:pgSz w:w="11906" w:h="16838"/>
          <w:pgMar w:top="1440" w:right="1800" w:bottom="1440" w:left="1800" w:header="851" w:footer="992" w:gutter="0"/>
          <w:cols w:space="720" w:num="1"/>
          <w:docGrid w:type="lines" w:linePitch="312" w:charSpace="0"/>
        </w:sectPr>
      </w:pPr>
    </w:p>
    <w:p>
      <w:pPr>
        <w:pStyle w:val="20"/>
        <w:widowControl/>
        <w:ind w:left="-850" w:leftChars="-405" w:firstLine="561"/>
        <w:rPr>
          <w:rFonts w:eastAsia="华文楷体"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2</w:t>
      </w:r>
      <w:r>
        <w:rPr>
          <w:rFonts w:hint="default" w:ascii="华文楷体" w:hAnsi="华文楷体" w:eastAsia="华文楷体" w:cs="华文楷体"/>
          <w:b/>
          <w:color w:val="auto"/>
          <w:sz w:val="28"/>
          <w:szCs w:val="28"/>
          <w:highlight w:val="none"/>
        </w:rPr>
        <w:t>：</w:t>
      </w:r>
      <w:r>
        <w:rPr>
          <w:rFonts w:ascii="华文楷体" w:hAnsi="华文楷体" w:eastAsia="华文楷体" w:cs="华文楷体"/>
          <w:b/>
          <w:color w:val="auto"/>
          <w:sz w:val="28"/>
          <w:szCs w:val="28"/>
          <w:highlight w:val="none"/>
        </w:rPr>
        <w:t>厦门市大宗货物政府采购供货验收单</w:t>
      </w:r>
    </w:p>
    <w:p>
      <w:pPr>
        <w:rPr>
          <w:rFonts w:hint="eastAsia" w:ascii="宋体" w:hAnsi="宋体" w:cs="宋体"/>
          <w:color w:val="auto"/>
          <w:sz w:val="24"/>
          <w:szCs w:val="24"/>
          <w:highlight w:val="none"/>
        </w:rPr>
      </w:pPr>
    </w:p>
    <w:p>
      <w:pPr>
        <w:pStyle w:val="21"/>
        <w:rPr>
          <w:rFonts w:hint="eastAsia"/>
          <w:color w:val="auto"/>
          <w:highlight w:val="none"/>
        </w:rPr>
      </w:pPr>
      <w:r>
        <w:rPr>
          <w:rFonts w:hint="eastAsia" w:ascii="宋体" w:hAnsi="宋体"/>
          <w:b/>
          <w:bCs/>
          <w:color w:val="auto"/>
          <w:sz w:val="36"/>
          <w:szCs w:val="36"/>
          <w:highlight w:val="none"/>
        </w:rPr>
        <w:drawing>
          <wp:inline distT="0" distB="0" distL="114300" distR="114300">
            <wp:extent cx="5274310" cy="7529195"/>
            <wp:effectExtent l="0" t="0" r="8890" b="1905"/>
            <wp:docPr id="3" name="图片 3"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副本验收报告格式(最终稿）(2)"/>
                    <pic:cNvPicPr>
                      <a:picLocks noChangeAspect="1"/>
                    </pic:cNvPicPr>
                  </pic:nvPicPr>
                  <pic:blipFill>
                    <a:blip r:embed="rId16"/>
                    <a:stretch>
                      <a:fillRect/>
                    </a:stretch>
                  </pic:blipFill>
                  <pic:spPr>
                    <a:xfrm>
                      <a:off x="0" y="0"/>
                      <a:ext cx="5274310" cy="7529195"/>
                    </a:xfrm>
                    <a:prstGeom prst="rect">
                      <a:avLst/>
                    </a:prstGeom>
                    <a:noFill/>
                    <a:ln>
                      <a:noFill/>
                    </a:ln>
                  </pic:spPr>
                </pic:pic>
              </a:graphicData>
            </a:graphic>
          </wp:inline>
        </w:drawing>
      </w:r>
    </w:p>
    <w:p>
      <w:pPr>
        <w:spacing w:line="360" w:lineRule="auto"/>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pPr>
    </w:p>
    <w:p>
      <w:pPr>
        <w:rPr>
          <w:color w:val="auto"/>
          <w:highlight w:val="none"/>
        </w:rPr>
      </w:pPr>
    </w:p>
    <w:sectPr>
      <w:footerReference r:id="rId1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ascii="宋体" w:hAnsi="宋体"/>
      </w:rP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460"/>
        <w:tab w:val="clear" w:pos="8306"/>
      </w:tabs>
      <w:ind w:right="-89" w:firstLine="420"/>
      <w:jc w:val="center"/>
      <w:rPr>
        <w:rFonts w:hint="eastAsia" w:ascii="宋体" w:hAnsi="宋体"/>
      </w:rP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p>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p>
                      </w:txbxContent>
                    </wps:txbx>
                    <wps:bodyPr vert="horz" wrap="none" lIns="0" tIns="0" rIns="0" bIns="0" anchor="t" anchorCtr="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4A3wxdkBAAC1AwAADgAAAAAAAAABACAA&#10;AAAeAQAAZHJzL2Uyb0RvYy54bWxQSwUGAAAAAAYABgBZAQAAaQUAAAAA&#10;">
              <v:fill on="f" focussize="0,0"/>
              <v:stroke on="f"/>
              <v:imagedata o:title=""/>
              <o:lock v:ext="edit" aspectratio="f"/>
              <v:textbox inset="0mm,0mm,0mm,0mm" style="mso-fit-shape-to-text:t;">
                <w:txbxContent>
                  <w:p>
                    <w:pPr>
                      <w:pStyle w:val="7"/>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460"/>
        <w:tab w:val="clear" w:pos="8306"/>
      </w:tabs>
      <w:ind w:right="-89" w:firstLine="420"/>
      <w:jc w:val="center"/>
      <w:rPr>
        <w:rFonts w:hint="eastAsia"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4ZWM1YmUyZDc5OTU0N2RmNGMxMDQ1MDhjZDMwOTAifQ=="/>
  </w:docVars>
  <w:rsids>
    <w:rsidRoot w:val="01144412"/>
    <w:rsid w:val="01144412"/>
    <w:rsid w:val="1B1B0B24"/>
    <w:rsid w:val="2D7C3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next w:val="11"/>
    <w:qFormat/>
    <w:uiPriority w:val="0"/>
    <w:pPr>
      <w:spacing w:after="120"/>
      <w:ind w:firstLine="420" w:firstLineChars="100"/>
      <w:jc w:val="both"/>
    </w:pPr>
    <w:rPr>
      <w:rFonts w:ascii="Times New Roman" w:hAnsi="Times New Roman" w:eastAsia="宋体"/>
      <w:b w:val="0"/>
      <w:bCs w:val="0"/>
      <w:sz w:val="21"/>
      <w:szCs w:val="24"/>
    </w:rPr>
  </w:style>
  <w:style w:type="paragraph" w:styleId="11">
    <w:name w:val="Body Text First Indent 2"/>
    <w:basedOn w:val="4"/>
    <w:qFormat/>
    <w:uiPriority w:val="0"/>
    <w:pPr>
      <w:ind w:firstLine="420" w:firstLineChars="200"/>
    </w:pPr>
  </w:style>
  <w:style w:type="table" w:styleId="13">
    <w:name w:val="Table Grid"/>
    <w:basedOn w:val="12"/>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18">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19">
    <w:name w:val="正文（绿盟科技）"/>
    <w:basedOn w:val="1"/>
    <w:qFormat/>
    <w:uiPriority w:val="0"/>
    <w:pPr>
      <w:widowControl/>
      <w:spacing w:line="300" w:lineRule="auto"/>
      <w:jc w:val="left"/>
    </w:pPr>
    <w:rPr>
      <w:rFonts w:ascii="Arial" w:hAnsi="Arial"/>
      <w:kern w:val="0"/>
      <w:szCs w:val="21"/>
    </w:rPr>
  </w:style>
  <w:style w:type="paragraph" w:customStyle="1" w:styleId="20">
    <w:name w:val="*正文"/>
    <w:basedOn w:val="1"/>
    <w:qFormat/>
    <w:uiPriority w:val="0"/>
    <w:pPr>
      <w:spacing w:line="360" w:lineRule="auto"/>
      <w:ind w:firstLine="200" w:firstLineChars="200"/>
    </w:pPr>
    <w:rPr>
      <w:rFonts w:hint="eastAsia" w:ascii="宋体" w:hAnsi="宋体"/>
      <w:sz w:val="22"/>
    </w:rPr>
  </w:style>
  <w:style w:type="paragraph" w:customStyle="1" w:styleId="21">
    <w:name w:val="Heading2"/>
    <w:basedOn w:val="1"/>
    <w:next w:val="1"/>
    <w:qFormat/>
    <w:uiPriority w:val="0"/>
    <w:pPr>
      <w:textAlignment w:val="baseline"/>
    </w:pPr>
    <w:rPr>
      <w:rFonts w:ascii="等线" w:hAnsi="等线" w:eastAsia="等线"/>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39629</Words>
  <Characters>43120</Characters>
  <Lines>0</Lines>
  <Paragraphs>0</Paragraphs>
  <TotalTime>3</TotalTime>
  <ScaleCrop>false</ScaleCrop>
  <LinksUpToDate>false</LinksUpToDate>
  <CharactersWithSpaces>43938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2024-07-26T09:46:00Z</dcterms:created>
  <dc:creator>Bonze</dc:creator>
  <cp:lastModifiedBy>Bonze</cp:lastModifiedBy>
  <dcterms:modified xsi:type="dcterms:W3CDTF">2024-07-26T10:01:11Z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0A7A76FA102143FC818708785403F0FC_11</vt:lpwstr>
  </property>
</Properties>
</file>